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第0230号提案的落实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val="0"/>
        <w:snapToGrid w:val="0"/>
        <w:spacing w:line="520" w:lineRule="exact"/>
        <w:ind w:right="105" w:rightChars="50"/>
        <w:textAlignment w:val="auto"/>
        <w:rPr>
          <w:rFonts w:eastAsia="仿宋_GB2312"/>
          <w:sz w:val="32"/>
        </w:rPr>
      </w:pPr>
      <w:bookmarkStart w:id="1" w:name="chenghu"/>
      <w:r>
        <w:rPr>
          <w:rFonts w:hint="eastAsia" w:eastAsia="仿宋_GB2312"/>
          <w:sz w:val="32"/>
          <w:lang w:val="en-US" w:eastAsia="zh-CN"/>
        </w:rPr>
        <w:t>李文海委员</w:t>
      </w:r>
      <w:bookmarkEnd w:id="1"/>
      <w:r>
        <w:rPr>
          <w:rFonts w:eastAsia="仿宋_GB2312"/>
          <w:sz w:val="32"/>
        </w:rPr>
        <w:t>：</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您提出的“关于更好地发挥科技创新平台功能的提案”，经会同市人力社保局、市教委、滨海新区、市税务局、市财政局、市公安局研究答复如下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一、着力推动重大创新平台和基础设施建设</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探索以科技创新促进产业发展、以产业发展倒逼科技创新的新机制，在信创、生物医药、化学化工等领域筹建海河实验室。围绕坚持优化生态、放权赋能、持续创新，制定了海河实验室体制机制顶层设计框架文件。大型地震工程模拟研究国家重大科技基础设施实验中心完成基础工程施工和设备预埋件施工，仿真中心完成主体结构施工，主要工艺设备完成采购和设计工作。组分中药国家重点实验室，新增中药组分1200余种。目前已有中药组分6万余份、单体化合物3000余个、复方有效组分350首，是世界最大的中药组分库。合成生物技术创新中心在基因编辑、DNA合成等多项底层核心技术上取得突破，引育孵化了49家科技企业。</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二、着力加强“雏鹰-瞪羚-领军”企业梯度培育</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优化“雏鹰-瞪羚-领军”企业梯度培育机制。印发《天津市雏鹰企业、瞪羚企业、科技领军企业和科技领军培育企业评价与支持办法》，统一3类企业评价工作模式；增加对通过复评的瞪羚企业、科技领军（培育）企业的支持政策，加大对高成长企业科技创新的支持力度；放宽雏鹰企业评价的注册时间条件，突出对初创期“嫩苗”企业的呵护。二是启动年度企业评价工作。目前，第一批雏鹰企业1906家、瞪羚企业186家、科技领军企业和科技领军培育企业36家已公告入库。三是加强对接服务和监督检查。通过政策宣讲、业务培训、现场调查、与税务部门联动核查等方式，积极引导符合条件的企业积极参与评价，同步加强评价质量管理。</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三、着力推进孵化载体机构高质量发展</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修订完善《天津市众创空间备案管理与绩效评估办法》，全面启动区级认定备案工作，形成区级、市级、国家级梯度培育发展的工作模式。完成年度火炬统计工作，新增纳统孵化器26家，增幅32%，为我市申报国家级增加底盘。发挥政策引导作用，截至目前已完成2021年度产业技术研究院认定与绩效的公开征集工作，进一步引导产业技术研究院良性发展。苏州医工所在津布局的天津国科医工科技发展有限公司，研制出国内第一个具有自主知识产权的医用三重四极杆质谱仪，依托该技术实现6500万元的转化收益，并引进山东威高集团在津注册合资公司，同时实现了技术收益、作价入股、以商招商。20家产研院衍生孵化企业总数超700家。</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四、着力推动科技成果转化取得新突破</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市科技成果展示交易运营中心自3月运营以来共接待来自全国10个省市、90个参观团体1300余人参观和交流。与中国技术交易所、河北省展交中心签订合作协议，在成果、需求、资本、人才等方面实现资源共享。举办“科技成果俏津门”、科教产业融合对接会等活动13场，遴选发布成果130项、技术需求114项，为企业融资1300万元，推动技术要素市场化流动。启动“火炬科技成果直通车-环渤海专场”，围绕“人工智能+大健康”领域推动成果在津落地。完善“企业出题，能者破题”机制，启动第六届中国创新挑战赛（天津）。2021年新征集企业科技特派员1056人，服务我市827家企业。</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五、着力加强京津冀协同创新</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会同市发展改革委、市工业和信息化局制定《关于进一步推动京津重点产业链创新链协同的实施方案》。在滨海高新区举办“智能科技产业链创新链专场对接会”，组织北京中关村智能科技领域近30家高技术企业、科研院所来津考察，讯飞幻境（北京）科技有限公司、中国蓝天集团等企业与我市达成合作意向。持续深化与中国科学院合作，与中科院构建“天津市出卷、中科院答卷、市场阅卷”的院市合作新模式新机制，共同支持中科院电工所、广州能源所与我市国网电力、大陆制氢等于2021年合作开展6项重大技术攻关示范项目。会同中科院创新发展中心召开相关重点项目启动会，组织中科院精密测量创新院等院所与我市企业开展点对点对接交流活动。</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六、着力做好人才引进工作</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落实《市委市政府关于深入实施人才引领战略加快天津高质量发展的意见》，进一步实现服务水平提档升级，积极探索实施为留学回国人员创新创业提供启动支持；为海内外高层次人才在引进落户、创业启动、职称评定等方面提供专属服务、主动服务和集成服务等一揽子服务措施。同时，围绕我市重要领域、重大项目和重点学科，征集用人单位岗位需求，做好2021年度海内外高层次和紧缺人才需求征集等相关工作，对接智联招聘等人力资源机构加大海内外宣传力度。根据用人单位需求，组织“双一流”高校校园招聘等引才聚才活动，精准对接引进高端紧缺人才和青年人才。深入实施“项目+团队”重点培养计划，重点引育一批高层次创新创业“项目+团队”，并给予团队创业启动、科技研发、成果转化、人才评价等全链条政策支持，推动专业人才、优秀团队和高端项目整体加速落地。2021年拨付“项目+团队”重点培养专项资助经费5000余万元。</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w:t>
      </w:r>
      <w:r>
        <w:rPr>
          <w:rFonts w:hint="eastAsia" w:ascii="仿宋_GB2312" w:hAnsi="仿宋_GB2312" w:eastAsia="仿宋_GB2312" w:cs="仿宋_GB2312"/>
          <w:sz w:val="32"/>
          <w:lang w:val="en-US" w:eastAsia="zh-CN"/>
        </w:rPr>
        <w:t>我们将持续完善我市创新平台的建设和管理工作，加快建设海河实验室，推进雏鹰—瞪羚—领军企业梯度培育，多模式发展产业技术研究院，持续完善科技成果市场化转移转化体系，深入实施国家及我市引才引智专项，聚集外国高端人才。</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right="105" w:rightChars="50"/>
        <w:jc w:val="both"/>
        <w:textAlignment w:val="auto"/>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right="105" w:rightChars="50"/>
        <w:textAlignment w:val="auto"/>
        <w:rPr>
          <w:rFonts w:hint="default" w:ascii="仿宋_GB2312" w:eastAsia="仿宋_GB2312"/>
          <w:sz w:val="32"/>
          <w:lang w:val="en-US" w:eastAsia="zh-CN"/>
        </w:rPr>
      </w:pPr>
      <w:bookmarkStart w:id="5" w:name="_GoBack"/>
      <w:bookmarkEnd w:id="5"/>
      <w:r>
        <w:rPr>
          <w:rFonts w:ascii="仿宋_GB2312" w:eastAsia="仿宋_GB2312"/>
          <w:sz w:val="32"/>
          <w:szCs w:val="18"/>
        </w:rPr>
        <w:t xml:space="preserve"> </w:t>
      </w:r>
      <w:bookmarkStart w:id="4" w:name="fyr"/>
      <w:bookmarkEnd w:id="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58832829</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BEFB5BB"/>
    <w:rsid w:val="447E3320"/>
    <w:rsid w:val="45CB5298"/>
    <w:rsid w:val="4B30475B"/>
    <w:rsid w:val="4CA33CB0"/>
    <w:rsid w:val="4D14258D"/>
    <w:rsid w:val="4F843BDE"/>
    <w:rsid w:val="57073EC0"/>
    <w:rsid w:val="59C6063C"/>
    <w:rsid w:val="5ED68C8D"/>
    <w:rsid w:val="63E612D4"/>
    <w:rsid w:val="693053CC"/>
    <w:rsid w:val="6AB50BAB"/>
    <w:rsid w:val="6CA056C1"/>
    <w:rsid w:val="6D957ABF"/>
    <w:rsid w:val="7312333B"/>
    <w:rsid w:val="75561D3A"/>
    <w:rsid w:val="7952225A"/>
    <w:rsid w:val="7D174045"/>
    <w:rsid w:val="7D906DB7"/>
    <w:rsid w:val="7E674295"/>
    <w:rsid w:val="7FD6E2E8"/>
    <w:rsid w:val="B5FD9269"/>
    <w:rsid w:val="BCDECB99"/>
    <w:rsid w:val="E79E1514"/>
    <w:rsid w:val="FFDFD5C1"/>
    <w:rsid w:val="FFFE614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2022-02-22T13:21:36Z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