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宋体" w:hAnsi="宋体" w:eastAsia="宋体"/>
          <w:b/>
          <w:bCs/>
          <w:sz w:val="44"/>
          <w:lang w:val="en-US" w:eastAsia="zh-CN"/>
        </w:rPr>
      </w:pPr>
      <w:bookmarkStart w:id="0" w:name="bt"/>
      <w:r>
        <w:rPr>
          <w:rFonts w:hint="eastAsia" w:ascii="宋体" w:hAnsi="宋体"/>
          <w:b/>
          <w:bCs/>
          <w:sz w:val="44"/>
          <w:lang w:val="en-US" w:eastAsia="zh-CN"/>
        </w:rPr>
        <w:t>对市政协第十四届四次会议</w:t>
      </w:r>
      <w:r>
        <w:rPr>
          <w:rFonts w:hint="eastAsia" w:ascii="宋体" w:hAnsi="宋体"/>
          <w:b/>
          <w:bCs/>
          <w:sz w:val="44"/>
          <w:lang w:val="en-US" w:eastAsia="zh-CN"/>
        </w:rPr>
        <w:br w:type="textWrapping"/>
      </w:r>
      <w:r>
        <w:rPr>
          <w:rFonts w:hint="eastAsia" w:ascii="宋体" w:hAnsi="宋体"/>
          <w:b/>
          <w:bCs/>
          <w:sz w:val="44"/>
          <w:lang w:val="en-US" w:eastAsia="zh-CN"/>
        </w:rPr>
        <w:t>第0749号提案的落实</w:t>
      </w:r>
      <w:bookmarkEnd w:id="0"/>
      <w:r>
        <w:rPr>
          <w:rFonts w:hint="eastAsia" w:ascii="宋体" w:hAnsi="宋体"/>
          <w:b/>
          <w:bCs/>
          <w:sz w:val="44"/>
          <w:lang w:val="en-US" w:eastAsia="zh-CN"/>
        </w:rPr>
        <w:t>答复</w:t>
      </w:r>
    </w:p>
    <w:p>
      <w:pPr>
        <w:spacing w:line="560" w:lineRule="exact"/>
        <w:ind w:right="105" w:rightChars="50"/>
        <w:rPr>
          <w:rFonts w:eastAsia="仿宋_GB2312"/>
          <w:sz w:val="32"/>
        </w:rPr>
      </w:pPr>
      <w:bookmarkStart w:id="1" w:name="chenghu"/>
      <w:r>
        <w:rPr>
          <w:rFonts w:hint="eastAsia" w:eastAsia="仿宋_GB2312"/>
          <w:sz w:val="32"/>
          <w:lang w:val="en-US" w:eastAsia="zh-CN"/>
        </w:rPr>
        <w:t>张同存委员</w:t>
      </w:r>
      <w:bookmarkEnd w:id="1"/>
      <w:r>
        <w:rPr>
          <w:rFonts w:eastAsia="仿宋_GB2312"/>
          <w:sz w:val="32"/>
        </w:rPr>
        <w:t>：</w:t>
      </w:r>
    </w:p>
    <w:p>
      <w:pPr>
        <w:spacing w:line="560" w:lineRule="exact"/>
        <w:rPr>
          <w:rFonts w:eastAsia="仿宋_GB2312"/>
          <w:sz w:val="32"/>
        </w:rPr>
      </w:pPr>
      <w:r>
        <w:rPr>
          <w:rFonts w:eastAsia="仿宋_GB2312"/>
          <w:sz w:val="32"/>
          <w:szCs w:val="18"/>
        </w:rPr>
        <w:t>　　</w:t>
      </w:r>
      <w:bookmarkStart w:id="2" w:name="shuo"/>
      <w:r>
        <w:rPr>
          <w:rFonts w:hint="eastAsia" w:eastAsia="仿宋_GB2312"/>
          <w:sz w:val="32"/>
          <w:szCs w:val="18"/>
          <w:lang w:val="en-US" w:eastAsia="zh-CN"/>
        </w:rPr>
        <w:t>您提出的“关于大力促进我市生物医药发展的提案”，经会同市财政局、滨海新区研究答复如下</w:t>
      </w:r>
      <w:bookmarkEnd w:id="2"/>
      <w:r>
        <w:rPr>
          <w:rFonts w:eastAsia="仿宋_GB2312"/>
          <w:sz w:val="32"/>
          <w:szCs w:val="18"/>
        </w:rPr>
        <w:t>：</w:t>
      </w:r>
    </w:p>
    <w:p>
      <w:pPr>
        <w:spacing w:line="560" w:lineRule="exact"/>
        <w:ind w:left="0" w:leftChars="0" w:right="105" w:rightChars="50" w:firstLine="640" w:firstLineChars="200"/>
        <w:rPr>
          <w:rFonts w:hint="eastAsia" w:ascii="仿宋_GB2312" w:hAnsi="仿宋_GB2312" w:eastAsia="仿宋_GB2312" w:cs="仿宋_GB2312"/>
          <w:sz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lang w:val="en-US" w:eastAsia="zh-CN"/>
        </w:rPr>
        <w:t>市科技局全面落实市委、市政府关于“坚持制造业立市，建设制造强市”的决策部署，会同我市相关单位编制了《天津市生物医药产业链工作方案》。</w:t>
      </w:r>
    </w:p>
    <w:p>
      <w:pPr>
        <w:spacing w:line="560" w:lineRule="exact"/>
        <w:ind w:left="0" w:leftChars="0" w:right="105" w:rightChars="50" w:firstLine="640" w:firstLineChars="200"/>
        <w:rPr>
          <w:rFonts w:hint="eastAsia" w:ascii="仿宋_GB2312" w:hAnsi="仿宋_GB2312" w:eastAsia="仿宋_GB2312" w:cs="仿宋_GB2312"/>
          <w:sz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lang w:val="en-US" w:eastAsia="zh-CN"/>
        </w:rPr>
        <w:t>围绕对标先进、广泛调研、深入研究、完善方案、征求意见等方面开展了一系列工作。一是成立工作小组，与各有关单位多次沟通协调，统筹推进文本编制；二是开展专题调研，面向本市生物医药重点企业发放调查问卷，了解企业主要技术和产品情况、经营发展情况、发展目标、在建拟建重点项目及政策需求等，并实地走访部分领军企业、科研院所和知名专家；三是提出初步方案后，广泛征求意见，先后3次征求了市发展改革委、市卫生健康委、市药监局等20个部门及滨海新区、武清区、北辰区等8个行政区（功能区）的意见。按照工作流程，该工作方案已分报5位市领导审阅同意，目前按程序报请市政府常务会议审议。</w:t>
      </w:r>
    </w:p>
    <w:p>
      <w:pPr>
        <w:spacing w:line="560" w:lineRule="exact"/>
        <w:ind w:left="0" w:leftChars="0" w:right="105" w:rightChars="50" w:firstLine="640" w:firstLineChars="200"/>
        <w:rPr>
          <w:rFonts w:hint="eastAsia" w:ascii="仿宋_GB2312" w:hAnsi="仿宋_GB2312" w:eastAsia="仿宋_GB2312" w:cs="仿宋_GB2312"/>
          <w:sz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lang w:val="en-US" w:eastAsia="zh-CN"/>
        </w:rPr>
        <w:t>《工作方案》包括总体要求、发展目标、重点任务和保障措施四部分内容。</w:t>
      </w:r>
    </w:p>
    <w:p>
      <w:pPr>
        <w:spacing w:line="560" w:lineRule="exact"/>
        <w:ind w:left="0" w:leftChars="0" w:right="105" w:rightChars="50" w:firstLine="640" w:firstLineChars="200"/>
        <w:rPr>
          <w:rFonts w:hint="eastAsia" w:ascii="仿宋_GB2312" w:hAnsi="仿宋_GB2312" w:eastAsia="仿宋_GB2312" w:cs="仿宋_GB2312"/>
          <w:sz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lang w:val="en-US" w:eastAsia="zh-CN"/>
        </w:rPr>
        <w:t>第一部分总体要求。聚焦制药、医疗器械及生物制造3条子产业链，制定产业链台账，围绕产业链布局创新链，支持关键技术创新，协同推进转化应用，扶优做强重点企业，布局建设大平台大项目，优化产业发展生态，不断提升本市生物医药产业核心竞争力，打造生物医药产业创新高地。</w:t>
      </w:r>
    </w:p>
    <w:p>
      <w:pPr>
        <w:spacing w:line="560" w:lineRule="exact"/>
        <w:ind w:left="0" w:leftChars="0" w:right="105" w:rightChars="50" w:firstLine="640" w:firstLineChars="200"/>
        <w:rPr>
          <w:rFonts w:hint="eastAsia" w:ascii="仿宋_GB2312" w:hAnsi="仿宋_GB2312" w:eastAsia="仿宋_GB2312" w:cs="仿宋_GB2312"/>
          <w:sz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lang w:val="en-US" w:eastAsia="zh-CN"/>
        </w:rPr>
        <w:t>第二部分发展目标。一是规划目标。到2023年，生物医药产业链规模达到780亿元，年均增速达到15%。二是创新目标。产业链重点企业研发经费占营业收入的比重超过3%，围绕产业链关键环节布局创新平台体系。三是人才目标。建立符合天津生物医药产业高质量发展需求的专业人才引育机制，人才规模质量显著提升。到2023年，新引育高层次人才200名，产业从业人数新增6000人。</w:t>
      </w:r>
    </w:p>
    <w:p>
      <w:pPr>
        <w:spacing w:line="560" w:lineRule="exact"/>
        <w:ind w:left="0" w:leftChars="0" w:right="105" w:rightChars="50" w:firstLine="640" w:firstLineChars="200"/>
        <w:rPr>
          <w:rFonts w:hint="eastAsia" w:ascii="仿宋_GB2312" w:hAnsi="仿宋_GB2312" w:eastAsia="仿宋_GB2312" w:cs="仿宋_GB2312"/>
          <w:sz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lang w:val="en-US" w:eastAsia="zh-CN"/>
        </w:rPr>
        <w:t>第三部分重点任务。一是加强产业技术创新。支持关键技术研发转化，形成一批自主创新产品。建立生物制造核心菌种与工业酶创制关键技术体系，深入共建中国医学科技创新体系核心基地天津基地。谋划建设医药健康领域“海河实验室”，争取国家级创新平台落地布局。二是协同推进转化应用。深化产学研医协同，组建医工结合创新联合体，以临床应用促进技术或产品迭代发展。支持创新产品产业化，对新取得新药证书、新药临床试验批件、突破性疗法、二三类医疗器械注册证书等给予经费奖励。三是扶优做强领军企业。制定并动态更新产业图谱和招商图谱，培育和壮大科技领军企业、“瞪羚企业”和“雏鹰企业”梯队。鼓励领军企业带动上下游企业集聚和创新链产业链补强。四是布局重大项目。摸底我市生物医药产业项目情况，建立动态生物医药产业重点项目库。推动产业聚集发展，建设“生物制造谷”、滨海“细胞谷”、中日（天津）健康产业发展合作示范区、中国医学科技创新体系核心基地天津基地等重点项目。五是着力构建产业生态。研究制定医药健康创新产品政府采购和推广应用等政策支持体系。发挥自贸区政策先行先试优势，力争在细胞治疗领域取得政策突破。加大智能制造专项资金、海河基金等对生物医药企业的支持力度。精准实施各类人才计划，完善人才配套支持体系，探索生物医药产业链统计监测机制，加强产业链经济运行相关数据分析和监测。</w:t>
      </w:r>
    </w:p>
    <w:p>
      <w:pPr>
        <w:spacing w:line="560" w:lineRule="exact"/>
        <w:ind w:left="0" w:leftChars="0" w:right="105" w:rightChars="50" w:firstLine="640" w:firstLineChars="200"/>
        <w:rPr>
          <w:rFonts w:hint="eastAsia" w:ascii="仿宋_GB2312" w:hAnsi="仿宋_GB2312" w:eastAsia="仿宋_GB2312" w:cs="仿宋_GB2312"/>
          <w:sz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lang w:val="en-US" w:eastAsia="zh-CN"/>
        </w:rPr>
        <w:t>第四部分保障措施。一是建立产业链链长制。定期会商并协调解决发展中的重大问题。二是持续优化营商环境。创新生物医药项目审批监管机制，对创新型和临床急需的医疗器械给予优先审评审批。三是加大优质企业招商力度。鼓励产业园区与生物医药专业投资基金合作开展招商。四是落实工作推进机制。组建产业链专家服务团，形成一套产业链专属政策组合包。五是高水平应用场景供给产业链高质量发展，鼓励产学研医深度融合、协同发展，支持研究型医院、研究型病房建设，以临床应用促进技术或产品迭代发展。</w:t>
      </w:r>
    </w:p>
    <w:p>
      <w:pPr>
        <w:spacing w:line="560" w:lineRule="exact"/>
        <w:ind w:left="0" w:leftChars="0" w:right="105" w:rightChars="50" w:firstLine="640" w:firstLineChars="200"/>
        <w:rPr>
          <w:rFonts w:hint="eastAsia" w:ascii="仿宋_GB2312" w:hAnsi="仿宋_GB2312" w:eastAsia="仿宋_GB2312" w:cs="仿宋_GB2312"/>
          <w:sz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18"/>
          <w:lang w:eastAsia="zh-CN"/>
        </w:rPr>
        <w:t>再次</w:t>
      </w:r>
      <w:r>
        <w:rPr>
          <w:rFonts w:hint="eastAsia" w:ascii="仿宋_GB2312" w:hAnsi="仿宋_GB2312" w:eastAsia="仿宋_GB2312" w:cs="仿宋_GB2312"/>
          <w:sz w:val="32"/>
          <w:szCs w:val="18"/>
        </w:rPr>
        <w:t>感谢您对科技工作的关心支持和提出的宝贵建议</w:t>
      </w:r>
      <w:r>
        <w:rPr>
          <w:rFonts w:hint="eastAsia" w:ascii="仿宋_GB2312" w:hAnsi="仿宋_GB2312" w:eastAsia="仿宋_GB2312" w:cs="仿宋_GB2312"/>
          <w:sz w:val="32"/>
          <w:szCs w:val="18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lang w:val="en-US" w:eastAsia="zh-CN"/>
        </w:rPr>
        <w:t>下一步，市科技局将会同相关部门，充分发挥政府引导和政策支持作用，激活高校、科研机构、医疗机构的创业积极性，打造创新创业平台，放开应用场景，撬动全社会力量集中资源加大对生物医药产业的投入力度，形成创新要素集聚、市场活力迸发的产业发展新生态，着力推进生物医药产业快速发展。</w:t>
      </w:r>
    </w:p>
    <w:p>
      <w:pPr>
        <w:spacing w:line="560" w:lineRule="exact"/>
        <w:ind w:left="0" w:leftChars="0" w:right="105" w:rightChars="50" w:firstLine="640" w:firstLineChars="200"/>
        <w:rPr>
          <w:rFonts w:hint="eastAsia" w:ascii="仿宋_GB2312" w:hAnsi="仿宋_GB2312" w:eastAsia="仿宋_GB2312" w:cs="仿宋_GB2312"/>
          <w:sz w:val="32"/>
          <w:lang w:val="en-US" w:eastAsia="zh-CN"/>
        </w:rPr>
      </w:pPr>
    </w:p>
    <w:p>
      <w:pPr>
        <w:spacing w:line="560" w:lineRule="exact"/>
        <w:ind w:left="0" w:leftChars="0" w:right="105" w:rightChars="50" w:firstLine="640" w:firstLineChars="200"/>
        <w:rPr>
          <w:rFonts w:hint="eastAsia" w:ascii="仿宋_GB2312" w:hAnsi="仿宋_GB2312" w:eastAsia="仿宋_GB2312" w:cs="仿宋_GB2312"/>
          <w:sz w:val="32"/>
          <w:lang w:val="en-US" w:eastAsia="zh-CN"/>
        </w:rPr>
      </w:pPr>
    </w:p>
    <w:p>
      <w:pPr>
        <w:spacing w:line="560" w:lineRule="exact"/>
        <w:ind w:left="0" w:leftChars="0" w:right="105" w:rightChars="50" w:firstLine="640" w:firstLineChars="200"/>
        <w:rPr>
          <w:rFonts w:hint="eastAsia" w:ascii="仿宋_GB2312" w:hAnsi="仿宋_GB2312" w:eastAsia="仿宋_GB2312" w:cs="仿宋_GB2312"/>
          <w:sz w:val="32"/>
          <w:lang w:val="en-US" w:eastAsia="zh-CN"/>
        </w:rPr>
      </w:pPr>
    </w:p>
    <w:p>
      <w:pPr>
        <w:spacing w:line="480" w:lineRule="exact"/>
        <w:ind w:right="105" w:rightChars="50" w:firstLine="5440" w:firstLineChars="1700"/>
        <w:jc w:val="both"/>
        <w:rPr>
          <w:rFonts w:hint="eastAsia" w:ascii="仿宋_GB2312" w:eastAsia="仿宋_GB2312"/>
          <w:sz w:val="32"/>
        </w:rPr>
      </w:pPr>
      <w:bookmarkStart w:id="3" w:name="now"/>
      <w:r>
        <w:rPr>
          <w:rFonts w:hint="eastAsia" w:ascii="仿宋_GB2312" w:eastAsia="仿宋_GB2312"/>
          <w:sz w:val="32"/>
          <w:lang w:val="en-US" w:eastAsia="zh-CN"/>
        </w:rPr>
        <w:t>2021年9月23日</w:t>
      </w:r>
      <w:bookmarkEnd w:id="3"/>
      <w:r>
        <w:rPr>
          <w:rFonts w:hint="eastAsia" w:ascii="仿宋_GB2312" w:eastAsia="仿宋_GB2312"/>
          <w:sz w:val="32"/>
        </w:rPr>
        <w:t xml:space="preserve">   </w:t>
      </w:r>
    </w:p>
    <w:p>
      <w:pPr>
        <w:spacing w:line="480" w:lineRule="exact"/>
        <w:ind w:right="105" w:rightChars="50"/>
        <w:jc w:val="right"/>
        <w:rPr>
          <w:rFonts w:hint="eastAsia" w:ascii="仿宋_GB2312" w:eastAsia="仿宋_GB2312"/>
          <w:sz w:val="32"/>
        </w:rPr>
      </w:pPr>
    </w:p>
    <w:p>
      <w:pPr>
        <w:tabs>
          <w:tab w:val="left" w:pos="1778"/>
          <w:tab w:val="left" w:pos="4540"/>
          <w:tab w:val="left" w:pos="6368"/>
        </w:tabs>
        <w:spacing w:line="480" w:lineRule="exact"/>
        <w:ind w:right="105" w:rightChars="50"/>
        <w:rPr>
          <w:rFonts w:hint="eastAsia" w:ascii="仿宋_GB2312" w:eastAsia="仿宋_GB2312"/>
          <w:sz w:val="32"/>
        </w:rPr>
      </w:pPr>
      <w:r>
        <w:rPr>
          <w:rFonts w:ascii="仿宋_GB2312" w:eastAsia="仿宋_GB2312"/>
          <w:sz w:val="32"/>
          <w:szCs w:val="18"/>
        </w:rPr>
        <w:t xml:space="preserve"> </w:t>
      </w:r>
      <w:bookmarkStart w:id="5" w:name="_GoBack"/>
      <w:bookmarkEnd w:id="5"/>
      <w:bookmarkStart w:id="4" w:name="fyr"/>
      <w:bookmarkEnd w:id="4"/>
      <w:r>
        <w:rPr>
          <w:rFonts w:hint="eastAsia" w:ascii="仿宋_GB2312" w:hAnsi="仿宋_GB2312" w:eastAsia="仿宋_GB2312" w:cs="仿宋_GB2312"/>
          <w:sz w:val="32"/>
          <w:szCs w:val="18"/>
        </w:rPr>
        <w:t>（联系单位及电话：天津市科学技术局，022-</w:t>
      </w:r>
      <w:r>
        <w:rPr>
          <w:rFonts w:hint="eastAsia" w:ascii="仿宋_GB2312" w:eastAsia="仿宋_GB2312"/>
          <w:sz w:val="32"/>
        </w:rPr>
        <w:t>58326712</w:t>
      </w:r>
      <w:r>
        <w:rPr>
          <w:rFonts w:hint="eastAsia" w:ascii="仿宋_GB2312" w:hAnsi="仿宋_GB2312" w:eastAsia="仿宋_GB2312" w:cs="仿宋_GB2312"/>
          <w:sz w:val="32"/>
          <w:szCs w:val="18"/>
        </w:rPr>
        <w:t>）</w:t>
      </w:r>
    </w:p>
    <w:p>
      <w:pPr>
        <w:spacing w:line="20" w:lineRule="exact"/>
        <w:ind w:right="1151" w:rightChars="548"/>
        <w:rPr>
          <w:rFonts w:hint="eastAsia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2098" w:right="1361" w:bottom="1985" w:left="1474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01"/>
    <w:family w:val="auto"/>
    <w:pitch w:val="default"/>
    <w:sig w:usb0="00000000" w:usb1="00000000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altName w:val="汉仪中宋简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中宋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Liberation Serif">
    <w:panose1 w:val="02020603050405020304"/>
    <w:charset w:val="00"/>
    <w:family w:val="auto"/>
    <w:pitch w:val="default"/>
    <w:sig w:usb0="A00002AF" w:usb1="500078FB" w:usb2="00000000" w:usb3="00000000" w:csb0="6000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9"/>
      </w:rPr>
    </w:pPr>
    <w:r>
      <w:rPr>
        <w:rStyle w:val="9"/>
      </w:rPr>
      <w:fldChar w:fldCharType="begin"/>
    </w:r>
    <w:r>
      <w:rPr>
        <w:rStyle w:val="9"/>
      </w:rPr>
      <w:instrText xml:space="preserve">PAGE  </w:instrText>
    </w:r>
    <w:r>
      <w:rPr>
        <w:rStyle w:val="9"/>
      </w:rPr>
      <w:fldChar w:fldCharType="separate"/>
    </w:r>
    <w:r>
      <w:rPr>
        <w:rStyle w:val="9"/>
      </w:rPr>
      <w:t>2</w:t>
    </w:r>
    <w:r>
      <w:rPr>
        <w:rStyle w:val="9"/>
      </w:rPr>
      <w:fldChar w:fldCharType="end"/>
    </w:r>
  </w:p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9"/>
      </w:rPr>
    </w:pPr>
    <w:r>
      <w:rPr>
        <w:rStyle w:val="9"/>
      </w:rPr>
      <w:fldChar w:fldCharType="begin"/>
    </w:r>
    <w:r>
      <w:rPr>
        <w:rStyle w:val="9"/>
      </w:rPr>
      <w:instrText xml:space="preserve">PAGE  </w:instrText>
    </w:r>
    <w:r>
      <w:rPr>
        <w:rStyle w:val="9"/>
      </w:rPr>
      <w:fldChar w:fldCharType="end"/>
    </w:r>
  </w:p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dit="readOnly" w:enforcement="0"/>
  <w:defaultTabStop w:val="425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8725F"/>
    <w:rsid w:val="00116DAE"/>
    <w:rsid w:val="00151656"/>
    <w:rsid w:val="00160D66"/>
    <w:rsid w:val="0018011C"/>
    <w:rsid w:val="00181F02"/>
    <w:rsid w:val="001A7225"/>
    <w:rsid w:val="001F61E3"/>
    <w:rsid w:val="002371A3"/>
    <w:rsid w:val="00261F6E"/>
    <w:rsid w:val="00272F04"/>
    <w:rsid w:val="00272F5E"/>
    <w:rsid w:val="00296F01"/>
    <w:rsid w:val="002B29B1"/>
    <w:rsid w:val="002C1912"/>
    <w:rsid w:val="002F0464"/>
    <w:rsid w:val="002F2BA0"/>
    <w:rsid w:val="00307EB1"/>
    <w:rsid w:val="003308ED"/>
    <w:rsid w:val="00354A16"/>
    <w:rsid w:val="00372068"/>
    <w:rsid w:val="00375D6E"/>
    <w:rsid w:val="00382172"/>
    <w:rsid w:val="004277E8"/>
    <w:rsid w:val="00460BAF"/>
    <w:rsid w:val="004C2F93"/>
    <w:rsid w:val="0052525D"/>
    <w:rsid w:val="00575302"/>
    <w:rsid w:val="0059759C"/>
    <w:rsid w:val="005B7C6A"/>
    <w:rsid w:val="005D25F2"/>
    <w:rsid w:val="005E0C68"/>
    <w:rsid w:val="005E7285"/>
    <w:rsid w:val="005F2062"/>
    <w:rsid w:val="005F5E66"/>
    <w:rsid w:val="00663555"/>
    <w:rsid w:val="007616B6"/>
    <w:rsid w:val="007746FD"/>
    <w:rsid w:val="007B2223"/>
    <w:rsid w:val="007D7D3A"/>
    <w:rsid w:val="007E1B8B"/>
    <w:rsid w:val="008155F9"/>
    <w:rsid w:val="00821E10"/>
    <w:rsid w:val="008222BF"/>
    <w:rsid w:val="00843262"/>
    <w:rsid w:val="00883F64"/>
    <w:rsid w:val="00895F09"/>
    <w:rsid w:val="00917F65"/>
    <w:rsid w:val="00930E75"/>
    <w:rsid w:val="00953B90"/>
    <w:rsid w:val="00982E66"/>
    <w:rsid w:val="009A0C11"/>
    <w:rsid w:val="009A5A86"/>
    <w:rsid w:val="009F568A"/>
    <w:rsid w:val="00A01DE8"/>
    <w:rsid w:val="00A03B4F"/>
    <w:rsid w:val="00AE0062"/>
    <w:rsid w:val="00B21A65"/>
    <w:rsid w:val="00B32F4D"/>
    <w:rsid w:val="00B67BF0"/>
    <w:rsid w:val="00B96B7B"/>
    <w:rsid w:val="00C16116"/>
    <w:rsid w:val="00C40842"/>
    <w:rsid w:val="00C559AE"/>
    <w:rsid w:val="00CC5ACA"/>
    <w:rsid w:val="00CD3DDD"/>
    <w:rsid w:val="00CD5AEB"/>
    <w:rsid w:val="00D07119"/>
    <w:rsid w:val="00D47E88"/>
    <w:rsid w:val="00DC2D37"/>
    <w:rsid w:val="00E00CB1"/>
    <w:rsid w:val="00E20115"/>
    <w:rsid w:val="00E81C98"/>
    <w:rsid w:val="00E87832"/>
    <w:rsid w:val="00F20A91"/>
    <w:rsid w:val="00F34F3B"/>
    <w:rsid w:val="00F80197"/>
    <w:rsid w:val="02950A43"/>
    <w:rsid w:val="05FB352C"/>
    <w:rsid w:val="062C73BA"/>
    <w:rsid w:val="0F415A30"/>
    <w:rsid w:val="1A1A2EA1"/>
    <w:rsid w:val="1BE3569F"/>
    <w:rsid w:val="1DBE927E"/>
    <w:rsid w:val="20FE4F37"/>
    <w:rsid w:val="22666FCA"/>
    <w:rsid w:val="23957D52"/>
    <w:rsid w:val="265833FB"/>
    <w:rsid w:val="2A106D0B"/>
    <w:rsid w:val="2DCA2874"/>
    <w:rsid w:val="377A2E5E"/>
    <w:rsid w:val="385C0DBD"/>
    <w:rsid w:val="3A57702C"/>
    <w:rsid w:val="3FE58AE7"/>
    <w:rsid w:val="447E3320"/>
    <w:rsid w:val="45CB5298"/>
    <w:rsid w:val="4B30475B"/>
    <w:rsid w:val="4CA33CB0"/>
    <w:rsid w:val="4D14258D"/>
    <w:rsid w:val="4F843BDE"/>
    <w:rsid w:val="57073EC0"/>
    <w:rsid w:val="59C6063C"/>
    <w:rsid w:val="63E612D4"/>
    <w:rsid w:val="693053CC"/>
    <w:rsid w:val="6AB50BAB"/>
    <w:rsid w:val="6CA056C1"/>
    <w:rsid w:val="6D957ABF"/>
    <w:rsid w:val="7312333B"/>
    <w:rsid w:val="75561D3A"/>
    <w:rsid w:val="7952225A"/>
    <w:rsid w:val="7D174045"/>
    <w:rsid w:val="7D906DB7"/>
    <w:rsid w:val="7E674295"/>
    <w:rsid w:val="D3BBF984"/>
    <w:rsid w:val="F7BDA252"/>
    <w:rsid w:val="F7FB5551"/>
    <w:rsid w:val="F9FF8D5F"/>
    <w:rsid w:val="FEF7C83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nhideWhenUsed="0" w:uiPriority="0" w:name="Default Paragraph Font"/>
    <w:lsdException w:qFormat="1" w:unhideWhenUsed="0" w:uiPriority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pPr>
      <w:jc w:val="center"/>
    </w:pPr>
    <w:rPr>
      <w:rFonts w:ascii="宋体"/>
      <w:b/>
      <w:bCs/>
      <w:sz w:val="44"/>
    </w:rPr>
  </w:style>
  <w:style w:type="paragraph" w:styleId="3">
    <w:name w:val="Date"/>
    <w:basedOn w:val="1"/>
    <w:next w:val="1"/>
    <w:semiHidden/>
    <w:qFormat/>
    <w:uiPriority w:val="0"/>
    <w:pPr>
      <w:ind w:left="100" w:leftChars="2500"/>
    </w:pPr>
    <w:rPr>
      <w:rFonts w:ascii="仿宋_GB2312" w:eastAsia="仿宋_GB2312"/>
      <w:sz w:val="32"/>
    </w:rPr>
  </w:style>
  <w:style w:type="paragraph" w:styleId="4">
    <w:name w:val="footer"/>
    <w:basedOn w:val="1"/>
    <w:link w:val="1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9">
    <w:name w:val="page number"/>
    <w:basedOn w:val="8"/>
    <w:qFormat/>
    <w:uiPriority w:val="0"/>
  </w:style>
  <w:style w:type="character" w:customStyle="1" w:styleId="10">
    <w:name w:val=" Char Char1"/>
    <w:basedOn w:val="8"/>
    <w:link w:val="5"/>
    <w:semiHidden/>
    <w:qFormat/>
    <w:uiPriority w:val="99"/>
    <w:rPr>
      <w:kern w:val="2"/>
      <w:sz w:val="18"/>
      <w:szCs w:val="18"/>
    </w:rPr>
  </w:style>
  <w:style w:type="character" w:customStyle="1" w:styleId="11">
    <w:name w:val=" Char Char"/>
    <w:basedOn w:val="8"/>
    <w:link w:val="4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spice</Company>
  <Pages>5</Pages>
  <Words>341</Words>
  <Characters>1948</Characters>
  <Lines>16</Lines>
  <Paragraphs>4</Paragraphs>
  <TotalTime>0</TotalTime>
  <ScaleCrop>false</ScaleCrop>
  <LinksUpToDate>false</LinksUpToDate>
  <CharactersWithSpaces>2285</CharactersWithSpaces>
  <Application>WPS Office_11.8.2.10386_F1E327BC-269C-435d-A152-05C5408002CA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2021-04-07T03:49:00Z</dcterms:created>
  <dc:creator>wjc</dc:creator>
  <cp:lastModifiedBy>文字审修</cp:lastModifiedBy>
  <dcterms:modified xsi:type="dcterms:W3CDTF">2022-02-22T13:29:08Z</dcterms:modified>
  <dc:title>各区县委办局办公室：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2052-11.8.2.10386</vt:lpwstr>
  </property>
</Properties>
</file>