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第0700号建议的落实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both"/>
        <w:textAlignment w:val="auto"/>
        <w:rPr>
          <w:rFonts w:hint="eastAsia" w:ascii="仿宋_GB2312" w:hAnsi="仿宋_GB2312" w:eastAsia="仿宋_GB2312" w:cs="仿宋_GB2312"/>
          <w:sz w:val="32"/>
        </w:rPr>
      </w:pPr>
      <w:bookmarkStart w:id="1" w:name="chenghu"/>
      <w:r>
        <w:rPr>
          <w:rFonts w:hint="eastAsia" w:ascii="仿宋_GB2312" w:hAnsi="仿宋_GB2312" w:eastAsia="仿宋_GB2312" w:cs="仿宋_GB2312"/>
          <w:sz w:val="32"/>
          <w:lang w:val="en-US" w:eastAsia="zh-CN"/>
        </w:rPr>
        <w:t>孙军代表</w:t>
      </w:r>
      <w:bookmarkEnd w:id="1"/>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您提出的“关于加强我市新型研发机构建设的建议”，经会同滨海新区、东丽区、西青区、南开区、津南区研究答复如下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一、多举措推动我市产研院发展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创办“产研汇”品牌活动，搭建产研院与产业主体、金融机构融汇对接平台，联合市国资委组织市管企业与产研院专场产研汇，20家产研院和6家市管企业集团及22家子公司现场发布了197项技术成果和41项应用场景需求，形成10项合作意向。二是组织产研院到深圳开展交流学习，参加全国新型研发机构研讨会，引导产研院按照新型研发机构模式发展，向先进省市、先进机构学习。并调研中科院深圳先进院、深圳湾实验室、深圳光明科学城等机构和区域，进一步拓展我市机构发展思路。三是利用科服网、成果展交中心等科技平台，搭建产研院线上成果展示系统，推动产研院创新成果落地转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二、产研院建设取得阶段成效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产研院政策是我市建设新型研发机构的重要举措，政策出台两年多以来，已经累计认定20家，通过政策支持建立了与清华、北大、浙大、中科院等一批国家顶尖高校、院所的良好合作机制，积淀了大量科研成果和创新能力。各产研院在我市各区的持续优化服务和科学管理下，逐步探索适合自身发展的路径，成效初步显现，聚集1600余名创新人才团队，取得自主知识产权等科技成果1000余项，衍生孵化企业总数超700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其中，清华高端院衍生的华海清科公司研制国内首台12英寸化学机械抛光设备，实现国产化替代，企业估值达30亿元，即将科创板上市；清科环保公司研发出二氧化氯缓释消毒凝胶，为抗击疫情捐赠2万余瓶，得到国务院感谢信。中科院苏州医工所在津设立的国科医工公司研制出国内第一个具有自主知识产权的医用三重四极杆质谱仪，依托该技术实现6500万元的转化收益，并引进山东威高集团在津注册合资公司，同时实现了技术收益、作价入股、以商招商。北大研究院“燕云”云管理器获得2018年度国家技术发明奖一等奖、浙大滨海院研发的国内首台高速旋转超声钢材在线无损探伤系统打破了国际同类产品的技术垄断。</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三、滨海新区创新招法支持产研院发展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滨海新区为进一步引导支持新区创新载体平台向新型研发机构转型发展，推进产学研紧密结合，促进技术成果转移转化，解决新型研发机构项目筛选机制不完善、与本地产业发展合作深度不足等问题，2021年滨海新区制定出台了《滨海新区关于进一步支持创新载体平台建设的若干措施（试行）》（津滨政办发〔2021〕1号），明确新型研发机构定位，优化新型研发机构支持模式，改进新型研发机构的体制机制，完善新型研发机构评估体系。通过政策实施，滨海新区积极推进符合条件的新型研发机构转型发展，通过宣讲引导、优化服务、破除枷锁，突出新型研发机构的市场化运营机制，放宽科技成果转化限制，激发创新创业活力，着力提升研发创新能力、提升技术商品化能力、提升孵化企业能力、提升对外服务能力，推动新型研发机构进一步为新区高质量发展提供支撑引领作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四、加快大学科技园政策制定和建设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市委、市政府有关指示精神，会同市教委牵头成立31家成员单位组成的工作专班，建立联络员沟通机制，全力推进大学科技园建设。持续对接科技部，了解国家政策和导向，统一思想，明确目标。制定出台指导意见和三年行动计划，提出我市大学科技园的总体思路、布局和任务安排，工作由顶层设计转入实质性建设阶段，确保我市大学科技园建设谋得实、对得上、推得动。卫东副市长在全市大学科技园建设推动会上高度评价前期工作，推动有力、有活力、抓的实、成效明显。“双主体”联动共建，各高校均与所在区签署合作框架协议，并共同成立校区联合工作专班，专项推进大学科技园建设工作。目前，中国民航大学科技园、天津科技大学科技园、河北工业大学北辰园已开园，中医药大学科技园、西青大学科技园、天津工业大学科技园基本完成建设，即将开园。</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r>
        <w:rPr>
          <w:rFonts w:hint="eastAsia" w:ascii="仿宋_GB2312" w:hAnsi="仿宋_GB2312" w:eastAsia="仿宋_GB2312" w:cs="仿宋_GB2312"/>
          <w:sz w:val="32"/>
          <w:lang w:val="en-US" w:eastAsia="zh-CN"/>
        </w:rPr>
        <w:t>持续加强我市产业技术研究院和大学科技园的建设和发展，开展2021年度产研院的绩效考核工作，持续组织“产研汇”对接活动，帮助产研院对接我市产业资源，加快科技成果转化和企业衍生孵化。制定我市大学科技园认定与绩效评价办法，加快推动大学科技园的建设发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exact"/>
        <w:ind w:right="0" w:rightChars="0"/>
        <w:jc w:val="both"/>
        <w:textAlignment w:val="auto"/>
        <w:rPr>
          <w:rFonts w:hint="eastAsia" w:ascii="仿宋_GB2312" w:hAnsi="仿宋_GB2312" w:eastAsia="仿宋_GB2312" w:cs="仿宋_GB2312"/>
          <w:sz w:val="32"/>
        </w:rPr>
      </w:pPr>
      <w:bookmarkStart w:id="3" w:name="now"/>
      <w:r>
        <w:rPr>
          <w:rFonts w:hint="eastAsia" w:ascii="仿宋_GB2312" w:hAnsi="仿宋_GB2312" w:eastAsia="仿宋_GB2312" w:cs="仿宋_GB2312"/>
          <w:sz w:val="32"/>
          <w:lang w:val="en-US" w:eastAsia="zh-CN"/>
        </w:rPr>
        <w:t xml:space="preserve">                                  2021年9月22日</w:t>
      </w:r>
      <w:bookmarkEnd w:id="3"/>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58832829</w:t>
      </w:r>
      <w:r>
        <w:rPr>
          <w:rFonts w:hint="eastAsia" w:ascii="仿宋_GB2312" w:hAnsi="仿宋_GB2312" w:eastAsia="仿宋_GB2312" w:cs="仿宋_GB2312"/>
          <w:sz w:val="32"/>
          <w:szCs w:val="18"/>
        </w:rPr>
        <w:t>）</w:t>
      </w:r>
    </w:p>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AC57DBA"/>
    <w:rsid w:val="1BE3569F"/>
    <w:rsid w:val="20FE4F37"/>
    <w:rsid w:val="22666FCA"/>
    <w:rsid w:val="23957D52"/>
    <w:rsid w:val="265833FB"/>
    <w:rsid w:val="2A106D0B"/>
    <w:rsid w:val="2DCA2874"/>
    <w:rsid w:val="377A2E5E"/>
    <w:rsid w:val="385C0DBD"/>
    <w:rsid w:val="3A57702C"/>
    <w:rsid w:val="3E1BBC88"/>
    <w:rsid w:val="447E3320"/>
    <w:rsid w:val="45CB5298"/>
    <w:rsid w:val="4B30475B"/>
    <w:rsid w:val="4CA33CB0"/>
    <w:rsid w:val="4D14258D"/>
    <w:rsid w:val="4F7D9693"/>
    <w:rsid w:val="4F843BDE"/>
    <w:rsid w:val="57073EC0"/>
    <w:rsid w:val="59C6063C"/>
    <w:rsid w:val="63E612D4"/>
    <w:rsid w:val="693053CC"/>
    <w:rsid w:val="6AB50BAB"/>
    <w:rsid w:val="6CA056C1"/>
    <w:rsid w:val="6D957ABF"/>
    <w:rsid w:val="7312333B"/>
    <w:rsid w:val="75561D3A"/>
    <w:rsid w:val="7952225A"/>
    <w:rsid w:val="7D174045"/>
    <w:rsid w:val="7D906DB7"/>
    <w:rsid w:val="7E674295"/>
    <w:rsid w:val="AFF3DA46"/>
    <w:rsid w:val="F6261AEC"/>
    <w:rsid w:val="FDABB20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2022-02-22T13:11:14Z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