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37" w:type="pct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Nimbus Roman No9 L" w:hAnsi="Nimbus Roman No9 L"/>
                <w:b/>
                <w:bCs/>
                <w:sz w:val="44"/>
              </w:rPr>
            </w:pPr>
            <w:bookmarkStart w:id="0" w:name="bt"/>
            <w:r>
              <w:rPr>
                <w:rFonts w:hint="eastAsia" w:ascii="Nimbus Roman No9 L" w:hAnsi="Nimbus Roman No9 L"/>
                <w:b/>
                <w:bCs/>
                <w:sz w:val="44"/>
              </w:rPr>
              <w:t>对市政协第十四届五次会议</w:t>
            </w:r>
            <w:r>
              <w:rPr>
                <w:rFonts w:hint="eastAsia" w:ascii="Nimbus Roman No9 L" w:hAnsi="Nimbus Roman No9 L"/>
                <w:b/>
                <w:bCs/>
                <w:sz w:val="44"/>
              </w:rPr>
              <w:br w:type="textWrapping"/>
            </w:r>
            <w:r>
              <w:rPr>
                <w:rFonts w:hint="eastAsia" w:ascii="Nimbus Roman No9 L" w:hAnsi="Nimbus Roman No9 L"/>
                <w:b/>
                <w:bCs/>
                <w:sz w:val="44"/>
              </w:rPr>
              <w:t>第0063号提案的落实答复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</w:tcPr>
          <w:p>
            <w:pPr>
              <w:spacing w:line="560" w:lineRule="exact"/>
              <w:ind w:right="105" w:rightChars="50"/>
              <w:rPr>
                <w:rFonts w:hint="eastAsia" w:ascii="Nimbus Roman No9 L" w:hAnsi="Nimbus Roman No9 L" w:eastAsia="仿宋_GB2312"/>
                <w:sz w:val="32"/>
              </w:rPr>
            </w:pPr>
            <w:bookmarkStart w:id="1" w:name="chenghu"/>
            <w:r>
              <w:rPr>
                <w:rFonts w:hint="eastAsia" w:ascii="Nimbus Roman No9 L" w:hAnsi="Nimbus Roman No9 L" w:eastAsia="仿宋_GB2312"/>
                <w:sz w:val="32"/>
              </w:rPr>
              <w:t>九三学社天津市委会</w:t>
            </w:r>
            <w:bookmarkEnd w:id="1"/>
            <w:r>
              <w:rPr>
                <w:rFonts w:ascii="Nimbus Roman No9 L" w:hAnsi="Nimbus Roman No9 L" w:eastAsia="仿宋_GB2312"/>
                <w:sz w:val="32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</w:tcPr>
          <w:p>
            <w:pPr>
              <w:spacing w:line="560" w:lineRule="exact"/>
              <w:rPr>
                <w:rFonts w:hint="eastAsia" w:ascii="Nimbus Roman No9 L" w:hAnsi="Nimbus Roman No9 L" w:eastAsia="仿宋_GB2312"/>
                <w:sz w:val="32"/>
              </w:rPr>
            </w:pPr>
            <w:r>
              <w:rPr>
                <w:rFonts w:ascii="Nimbus Roman No9 L" w:hAnsi="Nimbus Roman No9 L" w:eastAsia="仿宋_GB2312"/>
                <w:sz w:val="32"/>
                <w:szCs w:val="18"/>
              </w:rPr>
              <w:t>　　</w:t>
            </w:r>
            <w:bookmarkStart w:id="2" w:name="shuo"/>
            <w:r>
              <w:rPr>
                <w:rFonts w:hint="eastAsia" w:ascii="Nimbus Roman No9 L" w:hAnsi="Nimbus Roman No9 L" w:eastAsia="仿宋_GB2312"/>
                <w:sz w:val="32"/>
                <w:szCs w:val="18"/>
              </w:rPr>
              <w:t>贵党派提出的关于加快完善我市科技成果评价工作的提案，经会同市金融局、市财政局、市教委研究答复如下</w:t>
            </w:r>
            <w:bookmarkEnd w:id="2"/>
            <w:r>
              <w:rPr>
                <w:rFonts w:ascii="Nimbus Roman No9 L" w:hAnsi="Nimbus Roman No9 L" w:eastAsia="仿宋_GB2312"/>
                <w:sz w:val="32"/>
                <w:szCs w:val="18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5000" w:type="pct"/>
            <w:tcBorders>
              <w:tl2br w:val="nil"/>
              <w:tr2bl w:val="nil"/>
            </w:tcBorders>
          </w:tcPr>
          <w:p>
            <w:pPr>
              <w:spacing w:line="560" w:lineRule="exact"/>
              <w:ind w:firstLine="640" w:firstLineChars="200"/>
              <w:rPr>
                <w:rFonts w:hint="eastAsia" w:ascii="Nimbus Roman No9 L" w:hAnsi="Nimbus Roman No9 L" w:eastAsia="黑体"/>
                <w:sz w:val="32"/>
              </w:rPr>
            </w:pPr>
            <w:r>
              <w:rPr>
                <w:rFonts w:hint="eastAsia" w:ascii="Nimbus Roman No9 L" w:hAnsi="Nimbus Roman No9 L" w:eastAsia="黑体"/>
                <w:sz w:val="32"/>
              </w:rPr>
              <w:t>一、前期已开展工作</w:t>
            </w:r>
          </w:p>
          <w:p>
            <w:pPr>
              <w:spacing w:line="560" w:lineRule="exact"/>
              <w:ind w:firstLine="640" w:firstLineChars="200"/>
              <w:rPr>
                <w:rFonts w:hint="eastAsia" w:ascii="Nimbus Roman No9 L" w:hAnsi="Nimbus Roman No9 L" w:eastAsia="仿宋_GB2312"/>
                <w:snapToGrid w:val="0"/>
                <w:color w:val="auto"/>
                <w:kern w:val="0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Nimbus Roman No9 L" w:hAnsi="Nimbus Roman No9 L" w:eastAsia="楷体_GB2312" w:cs="楷体_GB2312"/>
                <w:sz w:val="32"/>
              </w:rPr>
              <w:t>（一）出台完善成果评价机制的政策文件。</w:t>
            </w:r>
            <w:r>
              <w:rPr>
                <w:rFonts w:hint="eastAsia" w:ascii="Nimbus Roman No9 L" w:hAnsi="Nimbus Roman No9 L" w:eastAsia="仿宋_GB2312"/>
                <w:snapToGrid w:val="0"/>
                <w:kern w:val="0"/>
                <w:sz w:val="32"/>
                <w:szCs w:val="32"/>
              </w:rPr>
              <w:t>市政府出台《关于完善科技成果评价机制的实施意见》，扭转了成果评价过时做法，坚持科技创新质量、绩效、贡献为核心的评价导向，充分发挥科技成果评价的</w:t>
            </w:r>
            <w:r>
              <w:rPr>
                <w:rFonts w:hint="eastAsia" w:ascii="Nimbus Roman No9 L" w:hAnsi="Nimbus Roman No9 L" w:eastAsia="仿宋_GB2312"/>
                <w:snapToGrid w:val="0"/>
                <w:color w:val="auto"/>
                <w:kern w:val="0"/>
                <w:sz w:val="32"/>
                <w:szCs w:val="32"/>
                <w:shd w:val="clear" w:color="auto" w:fill="auto"/>
              </w:rPr>
              <w:t>“指挥棒”作用，系统解决了“评什么、谁来评、怎么评”的问题。市科技局、市教委联合下发《关于进一步推动高校落实科技成果转化政策的通知》，从落实高校自主权、保障科技人员收益、加强成果管理与应用、建设技术转移机构、完善尽职免责机制等方面，指导高校落实落细《实施意见》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hint="eastAsia" w:ascii="Nimbus Roman No9 L" w:hAnsi="Nimbus Roman No9 L" w:eastAsia="仿宋_GB2312"/>
                <w:color w:val="auto"/>
                <w:sz w:val="32"/>
                <w:shd w:val="clear" w:color="auto" w:fill="auto"/>
              </w:rPr>
            </w:pPr>
            <w:r>
              <w:rPr>
                <w:rFonts w:hint="eastAsia" w:ascii="Nimbus Roman No9 L" w:hAnsi="Nimbus Roman No9 L" w:eastAsia="楷体_GB2312" w:cs="楷体_GB2312"/>
                <w:color w:val="auto"/>
                <w:sz w:val="32"/>
                <w:shd w:val="clear" w:color="auto" w:fill="auto"/>
              </w:rPr>
              <w:t>（二）建立科技成果分类评价体系。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hd w:val="clear" w:color="auto" w:fill="auto"/>
              </w:rPr>
              <w:t>一是发布评价标准。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hd w:val="clear" w:color="auto" w:fill="auto"/>
              </w:rPr>
              <w:t>充分发挥行业协会等机构作用，</w:t>
            </w:r>
            <w:r>
              <w:rPr>
                <w:rFonts w:hint="eastAsia" w:ascii="Nimbus Roman No9 L" w:hAnsi="Nimbus Roman No9 L" w:eastAsia="仿宋_GB2312"/>
                <w:color w:val="auto"/>
                <w:sz w:val="32"/>
                <w:szCs w:val="32"/>
                <w:shd w:val="clear" w:color="auto" w:fill="auto"/>
              </w:rPr>
              <w:t>组织相关单位对基础研究、应用研究、技术开发和产业化等不同类别科技成果进行分类评价。目前，天津市技术市场协会结合天津市实际，编制发布《应用研究成果评价标准》，详细规定了应用研究成果评价的基本原则、评价方法和评价程序，并编制《应用研究成果评价工作指引》，进一步明确评价机构准入与管理等各项工作准则，为我市各科技成果评价机构开展工作提供规范指导。</w:t>
            </w:r>
            <w:r>
              <w:rPr>
                <w:rFonts w:hint="eastAsia" w:ascii="Nimbus Roman No9 L" w:hAnsi="Nimbus Roman No9 L" w:eastAsia="仿宋_GB2312"/>
                <w:b/>
                <w:bCs/>
                <w:color w:val="auto"/>
                <w:sz w:val="32"/>
                <w:szCs w:val="32"/>
                <w:shd w:val="clear" w:color="auto" w:fill="auto"/>
              </w:rPr>
              <w:t>二是在人才评价中深化成果转化导向。</w:t>
            </w:r>
            <w:r>
              <w:rPr>
                <w:rFonts w:ascii="Nimbus Roman No9 L" w:hAnsi="Nimbus Roman No9 L" w:eastAsia="仿宋_GB2312"/>
                <w:color w:val="auto"/>
                <w:sz w:val="32"/>
                <w:shd w:val="clear" w:color="auto" w:fill="auto"/>
              </w:rPr>
              <w:t>深化高校教师分</w:t>
            </w:r>
            <w:r>
              <w:rPr>
                <w:rFonts w:ascii="Nimbus Roman No9 L" w:hAnsi="Nimbus Roman No9 L" w:eastAsia="仿宋_GB2312"/>
                <w:color w:val="auto"/>
                <w:w w:val="105"/>
                <w:sz w:val="32"/>
                <w:shd w:val="clear" w:color="auto" w:fill="auto"/>
              </w:rPr>
              <w:t>类评价改革，</w:t>
            </w:r>
            <w:r>
              <w:rPr>
                <w:rFonts w:ascii="Nimbus Roman No9 L" w:hAnsi="Nimbus Roman No9 L" w:eastAsia="仿宋_GB2312"/>
                <w:color w:val="auto"/>
                <w:sz w:val="32"/>
                <w:shd w:val="clear" w:color="auto" w:fill="auto"/>
              </w:rPr>
              <w:t>设置“应用推广型”岗位</w:t>
            </w:r>
            <w:r>
              <w:rPr>
                <w:rFonts w:hint="eastAsia" w:ascii="Nimbus Roman No9 L" w:hAnsi="Nimbus Roman No9 L" w:eastAsia="仿宋_GB2312"/>
                <w:color w:val="auto"/>
                <w:sz w:val="32"/>
                <w:shd w:val="clear" w:color="auto" w:fill="auto"/>
              </w:rPr>
              <w:t>，</w:t>
            </w:r>
            <w:r>
              <w:rPr>
                <w:rFonts w:ascii="Nimbus Roman No9 L" w:hAnsi="Nimbus Roman No9 L" w:eastAsia="仿宋_GB2312"/>
                <w:color w:val="auto"/>
                <w:sz w:val="32"/>
                <w:shd w:val="clear" w:color="auto" w:fill="auto"/>
              </w:rPr>
              <w:t>将“从事科技开发、转化工作并取得较为显著效益”、“发明创造和科技推广取得良好成果，推动经济社会发展”纳入业绩评价体系</w:t>
            </w:r>
            <w:r>
              <w:rPr>
                <w:rFonts w:hint="eastAsia" w:ascii="Nimbus Roman No9 L" w:hAnsi="Nimbus Roman No9 L" w:eastAsia="仿宋_GB2312"/>
                <w:color w:val="auto"/>
                <w:sz w:val="32"/>
                <w:shd w:val="clear" w:color="auto" w:fill="auto"/>
              </w:rPr>
              <w:t>。要求高校教师定期到企业一线实践锻炼，将高校教师企业经历和产业服务能力作为重要参考因素，</w:t>
            </w:r>
            <w:r>
              <w:rPr>
                <w:rFonts w:ascii="Nimbus Roman No9 L" w:hAnsi="Nimbus Roman No9 L" w:eastAsia="仿宋_GB2312"/>
                <w:color w:val="auto"/>
                <w:sz w:val="32"/>
                <w:shd w:val="clear" w:color="auto" w:fill="auto"/>
              </w:rPr>
              <w:t>鼓励高校教师</w:t>
            </w:r>
            <w:r>
              <w:rPr>
                <w:rFonts w:hint="eastAsia" w:ascii="Nimbus Roman No9 L" w:hAnsi="Nimbus Roman No9 L" w:eastAsia="仿宋_GB2312"/>
                <w:color w:val="auto"/>
                <w:sz w:val="32"/>
                <w:shd w:val="clear" w:color="auto" w:fill="auto"/>
              </w:rPr>
              <w:t>开展成果转化工作</w:t>
            </w:r>
            <w:r>
              <w:rPr>
                <w:rFonts w:ascii="Nimbus Roman No9 L" w:hAnsi="Nimbus Roman No9 L" w:eastAsia="仿宋_GB2312"/>
                <w:color w:val="auto"/>
                <w:sz w:val="32"/>
                <w:shd w:val="clear" w:color="auto" w:fill="auto"/>
              </w:rPr>
              <w:t>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hint="eastAsia" w:ascii="Nimbus Roman No9 L" w:hAnsi="Nimbus Roman No9 L" w:eastAsia="仿宋_GB2312" w:cs="仿宋_GB2312"/>
                <w:color w:val="auto"/>
                <w:sz w:val="32"/>
                <w:shd w:val="clear" w:color="auto" w:fill="auto"/>
              </w:rPr>
            </w:pPr>
            <w:r>
              <w:rPr>
                <w:rFonts w:hint="eastAsia" w:ascii="Nimbus Roman No9 L" w:hAnsi="Nimbus Roman No9 L" w:eastAsia="楷体_GB2312" w:cs="楷体_GB2312"/>
                <w:color w:val="auto"/>
                <w:sz w:val="32"/>
                <w:shd w:val="clear" w:color="auto" w:fill="auto"/>
              </w:rPr>
              <w:t>（三）强化科技金融支撑。</w:t>
            </w:r>
            <w:r>
              <w:rPr>
                <w:rFonts w:hint="eastAsia" w:ascii="Nimbus Roman No9 L" w:hAnsi="Nimbus Roman No9 L" w:eastAsia="仿宋_GB2312" w:cs="仿宋_GB2312"/>
                <w:b/>
                <w:bCs/>
                <w:color w:val="auto"/>
                <w:sz w:val="32"/>
                <w:shd w:val="clear" w:color="auto" w:fill="auto"/>
              </w:rPr>
              <w:t>一是设立科技成果概念验证资金</w:t>
            </w:r>
            <w:r>
              <w:rPr>
                <w:rFonts w:hint="eastAsia" w:ascii="Nimbus Roman No9 L" w:hAnsi="Nimbus Roman No9 L" w:eastAsia="仿宋_GB2312" w:cs="仿宋_GB2312"/>
                <w:color w:val="auto"/>
                <w:sz w:val="32"/>
                <w:shd w:val="clear" w:color="auto" w:fill="auto"/>
              </w:rPr>
              <w:t>。</w:t>
            </w:r>
            <w:r>
              <w:rPr>
                <w:rFonts w:hint="eastAsia" w:ascii="Nimbus Roman No9 L" w:hAnsi="Nimbus Roman No9 L" w:eastAsia="仿宋_GB2312" w:cs="仿宋_GB2312"/>
                <w:color w:val="auto"/>
                <w:sz w:val="32"/>
                <w:szCs w:val="32"/>
                <w:shd w:val="clear" w:color="auto" w:fill="auto"/>
              </w:rPr>
              <w:t>引导我市高校院所利用自有资金和各类社会资本，建立概念验证资金池，支持本单位科研人员实施以成果转化为导向的概念验证项目</w:t>
            </w:r>
            <w:r>
              <w:rPr>
                <w:rFonts w:hint="eastAsia" w:ascii="Nimbus Roman No9 L" w:hAnsi="Nimbus Roman No9 L" w:eastAsia="仿宋_GB2312" w:cs="仿宋_GB2312"/>
                <w:color w:val="auto"/>
                <w:sz w:val="32"/>
                <w:shd w:val="clear" w:color="auto" w:fill="auto"/>
              </w:rPr>
              <w:t>；支持企业围绕我市“1+3+4”主导产业，建立概念验证平台，开展</w:t>
            </w:r>
            <w:r>
              <w:rPr>
                <w:rFonts w:ascii="Nimbus Roman No9 L" w:hAnsi="Nimbus Roman No9 L" w:eastAsia="仿宋_GB2312" w:cs="仿宋_GB2312"/>
                <w:color w:val="auto"/>
                <w:sz w:val="32"/>
                <w:shd w:val="clear" w:color="auto" w:fill="auto"/>
              </w:rPr>
              <w:t>技术可行性</w:t>
            </w:r>
            <w:r>
              <w:rPr>
                <w:rFonts w:hint="eastAsia" w:ascii="Nimbus Roman No9 L" w:hAnsi="Nimbus Roman No9 L" w:eastAsia="仿宋_GB2312" w:cs="仿宋_GB2312"/>
                <w:color w:val="auto"/>
                <w:sz w:val="32"/>
                <w:shd w:val="clear" w:color="auto" w:fill="auto"/>
              </w:rPr>
              <w:t>验证</w:t>
            </w:r>
            <w:r>
              <w:rPr>
                <w:rFonts w:ascii="Nimbus Roman No9 L" w:hAnsi="Nimbus Roman No9 L" w:eastAsia="仿宋_GB2312" w:cs="仿宋_GB2312"/>
                <w:color w:val="auto"/>
                <w:sz w:val="32"/>
                <w:shd w:val="clear" w:color="auto" w:fill="auto"/>
              </w:rPr>
              <w:t>、商业评价、</w:t>
            </w:r>
            <w:r>
              <w:rPr>
                <w:rFonts w:hint="eastAsia" w:ascii="Nimbus Roman No9 L" w:hAnsi="Nimbus Roman No9 L" w:eastAsia="仿宋_GB2312" w:cs="仿宋_GB2312"/>
                <w:color w:val="auto"/>
                <w:sz w:val="32"/>
                <w:shd w:val="clear" w:color="auto" w:fill="auto"/>
              </w:rPr>
              <w:t>中试等概念验证服务。</w:t>
            </w:r>
            <w:r>
              <w:rPr>
                <w:rFonts w:hint="eastAsia" w:ascii="Nimbus Roman No9 L" w:hAnsi="Nimbus Roman No9 L" w:eastAsia="仿宋_GB2312" w:cs="仿宋_GB2312"/>
                <w:b/>
                <w:bCs/>
                <w:color w:val="auto"/>
                <w:sz w:val="32"/>
                <w:shd w:val="clear" w:color="auto" w:fill="auto"/>
              </w:rPr>
              <w:t>二是打造百亿级天使母基金。</w:t>
            </w:r>
            <w:r>
              <w:rPr>
                <w:rFonts w:hint="eastAsia" w:ascii="Nimbus Roman No9 L" w:hAnsi="Nimbus Roman No9 L" w:eastAsia="仿宋_GB2312" w:cs="仿宋_GB2312"/>
                <w:color w:val="auto"/>
                <w:sz w:val="32"/>
                <w:shd w:val="clear" w:color="auto" w:fill="auto"/>
              </w:rPr>
              <w:t>构建“资本招商+本地孵化”创投生态，设立研发天使、转化天使等功能性子基金，引导社会资本投早、投小、投“硬科技”，不断为我市导入优质种子企业，培育更多产业细分领域的隐形冠军。</w:t>
            </w:r>
          </w:p>
          <w:p>
            <w:pPr>
              <w:pStyle w:val="12"/>
              <w:spacing w:after="0" w:line="560" w:lineRule="exact"/>
              <w:ind w:left="0" w:firstLine="640" w:firstLineChars="200"/>
              <w:textAlignment w:val="auto"/>
              <w:rPr>
                <w:rFonts w:hint="eastAsia" w:ascii="Nimbus Roman No9 L" w:hAnsi="Nimbus Roman No9 L" w:eastAsia="黑体" w:cs="黑体"/>
                <w:color w:val="auto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Nimbus Roman No9 L" w:hAnsi="Nimbus Roman No9 L" w:eastAsia="黑体" w:cs="黑体"/>
                <w:bCs/>
                <w:color w:val="auto"/>
                <w:sz w:val="32"/>
                <w:szCs w:val="32"/>
                <w:shd w:val="clear" w:color="auto" w:fill="auto"/>
              </w:rPr>
              <w:t>二、</w:t>
            </w:r>
            <w:r>
              <w:rPr>
                <w:rFonts w:hint="eastAsia" w:ascii="Nimbus Roman No9 L" w:hAnsi="Nimbus Roman No9 L" w:eastAsia="黑体" w:cs="黑体"/>
                <w:color w:val="auto"/>
                <w:sz w:val="32"/>
                <w:szCs w:val="32"/>
                <w:shd w:val="clear" w:color="auto" w:fill="auto"/>
              </w:rPr>
              <w:t>下一步工作计划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hint="eastAsia" w:ascii="Nimbus Roman No9 L" w:hAnsi="Nimbus Roman No9 L" w:eastAsia="仿宋_GB2312"/>
                <w:sz w:val="32"/>
                <w:szCs w:val="32"/>
              </w:rPr>
            </w:pPr>
            <w:r>
              <w:rPr>
                <w:rFonts w:hint="eastAsia" w:ascii="Nimbus Roman No9 L" w:hAnsi="Nimbus Roman No9 L" w:eastAsia="仿宋_GB2312"/>
                <w:sz w:val="32"/>
                <w:szCs w:val="18"/>
              </w:rPr>
              <w:t>下一步，市科技局、市金融局、市财政局、市教委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</w:rPr>
              <w:t>将坚决贯彻落实市委市政府有关决策部署，深化科技成果评价改革，推动政策扎实落地。</w:t>
            </w:r>
            <w:r>
              <w:rPr>
                <w:rFonts w:hint="eastAsia" w:ascii="Nimbus Roman No9 L" w:hAnsi="Nimbus Roman No9 L" w:eastAsia="仿宋_GB2312"/>
                <w:b/>
                <w:bCs/>
                <w:sz w:val="32"/>
                <w:szCs w:val="32"/>
              </w:rPr>
              <w:t>一是完善体系。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</w:rPr>
              <w:t>引导规范第三方科技成果评价，进一步发挥行业协会、学会、研究会、专业化评估机构等在科技成果评价中的作用，强化自律管理，促进市场评价活动规范发展。</w:t>
            </w:r>
            <w:r>
              <w:rPr>
                <w:rFonts w:hint="eastAsia" w:ascii="Nimbus Roman No9 L" w:hAnsi="Nimbus Roman No9 L" w:eastAsia="仿宋_GB2312"/>
                <w:b/>
                <w:bCs/>
                <w:sz w:val="32"/>
                <w:szCs w:val="32"/>
              </w:rPr>
              <w:t>二是活跃平台。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</w:rPr>
              <w:t>引导高等院校、科研机构和企业科技成果到</w:t>
            </w:r>
            <w:r>
              <w:rPr>
                <w:rFonts w:ascii="Nimbus Roman No9 L" w:hAnsi="Nimbus Roman No9 L" w:eastAsia="仿宋_GB2312" w:cs="仿宋_GB2312"/>
                <w:sz w:val="32"/>
              </w:rPr>
              <w:t>天津技术</w:t>
            </w:r>
            <w:r>
              <w:rPr>
                <w:rFonts w:hint="eastAsia" w:ascii="Nimbus Roman No9 L" w:hAnsi="Nimbus Roman No9 L" w:eastAsia="仿宋_GB2312" w:cs="仿宋_GB2312"/>
                <w:sz w:val="32"/>
              </w:rPr>
              <w:t>产权</w:t>
            </w:r>
            <w:r>
              <w:rPr>
                <w:rFonts w:ascii="Nimbus Roman No9 L" w:hAnsi="Nimbus Roman No9 L" w:eastAsia="仿宋_GB2312" w:cs="仿宋_GB2312"/>
                <w:sz w:val="32"/>
              </w:rPr>
              <w:t>交易平台</w:t>
            </w:r>
            <w:r>
              <w:rPr>
                <w:rFonts w:hint="eastAsia" w:ascii="Nimbus Roman No9 L" w:hAnsi="Nimbus Roman No9 L" w:eastAsia="仿宋_GB2312" w:cs="仿宋_GB2312"/>
                <w:sz w:val="32"/>
              </w:rPr>
              <w:t>进行技术股权、产权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</w:rPr>
              <w:t>挂牌交易。三</w:t>
            </w:r>
            <w:r>
              <w:rPr>
                <w:rFonts w:hint="eastAsia" w:ascii="Nimbus Roman No9 L" w:hAnsi="Nimbus Roman No9 L" w:eastAsia="仿宋_GB2312"/>
                <w:b/>
                <w:bCs/>
                <w:sz w:val="32"/>
                <w:szCs w:val="32"/>
              </w:rPr>
              <w:t>是加大金融支持。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</w:rPr>
              <w:t>推动更多企业和金融机构介入高校早期研发活动。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hint="eastAsia" w:ascii="Nimbus Roman No9 L" w:hAnsi="Nimbus Roman No9 L" w:eastAsia="仿宋_GB2312"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</w:tcPr>
          <w:p>
            <w:pPr>
              <w:spacing w:line="560" w:lineRule="exact"/>
              <w:ind w:right="105" w:rightChars="50"/>
              <w:jc w:val="center"/>
              <w:rPr>
                <w:rFonts w:hint="eastAsia" w:ascii="Nimbus Roman No9 L" w:hAnsi="Nimbus Roman No9 L" w:eastAsia="仿宋_GB2312"/>
                <w:sz w:val="32"/>
              </w:rPr>
            </w:pPr>
            <w:bookmarkStart w:id="3" w:name="now"/>
            <w:r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  <w:t xml:space="preserve">                        </w:t>
            </w:r>
            <w:r>
              <w:rPr>
                <w:rFonts w:hint="eastAsia" w:ascii="Nimbus Roman No9 L" w:hAnsi="Nimbus Roman No9 L" w:eastAsia="仿宋_GB2312"/>
                <w:sz w:val="32"/>
              </w:rPr>
              <w:t>2022年9月6日</w:t>
            </w:r>
            <w:bookmarkEnd w:id="3"/>
            <w:r>
              <w:rPr>
                <w:rFonts w:hint="eastAsia" w:ascii="Nimbus Roman No9 L" w:hAnsi="Nimbus Roman No9 L" w:eastAsia="仿宋_GB2312"/>
                <w:sz w:val="32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000" w:type="pct"/>
            <w:tcBorders>
              <w:tl2br w:val="nil"/>
              <w:tr2bl w:val="nil"/>
            </w:tcBorders>
            <w:vAlign w:val="bottom"/>
          </w:tcPr>
          <w:p>
            <w:pPr>
              <w:spacing w:line="560" w:lineRule="exact"/>
              <w:ind w:right="105" w:rightChars="50"/>
              <w:rPr>
                <w:rFonts w:hint="eastAsia" w:ascii="Nimbus Roman No9 L" w:hAnsi="Nimbus Roman No9 L" w:eastAsia="仿宋_GB2312"/>
                <w:sz w:val="32"/>
              </w:rPr>
            </w:pPr>
            <w:bookmarkStart w:id="4" w:name="fyr"/>
            <w:bookmarkEnd w:id="4"/>
            <w:r>
              <w:rPr>
                <w:rFonts w:hint="eastAsia" w:ascii="Nimbus Roman No9 L" w:hAnsi="Nimbus Roman No9 L" w:eastAsia="仿宋_GB2312"/>
                <w:sz w:val="32"/>
                <w:lang w:eastAsia="zh-CN"/>
              </w:rPr>
              <w:t>（联系单位及电话：天津市科学技术局，</w:t>
            </w:r>
            <w:r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  <w:t>022-58832935</w:t>
            </w:r>
            <w:r>
              <w:rPr>
                <w:rFonts w:hint="eastAsia" w:ascii="Nimbus Roman No9 L" w:hAnsi="Nimbus Roman No9 L" w:eastAsia="仿宋_GB2312"/>
                <w:sz w:val="32"/>
                <w:lang w:eastAsia="zh-CN"/>
              </w:rPr>
              <w:t>）</w:t>
            </w:r>
          </w:p>
        </w:tc>
      </w:tr>
    </w:tbl>
    <w:p>
      <w:pPr>
        <w:spacing w:line="20" w:lineRule="exact"/>
        <w:ind w:right="1151" w:rightChars="548"/>
      </w:pPr>
      <w:bookmarkStart w:id="5" w:name="_GoBack"/>
      <w:bookmarkEnd w:id="5"/>
    </w:p>
    <w:sectPr>
      <w:headerReference r:id="rId3" w:type="default"/>
      <w:footerReference r:id="rId4" w:type="default"/>
      <w:footerReference r:id="rId5" w:type="even"/>
      <w:pgSz w:w="11906" w:h="16838"/>
      <w:pgMar w:top="2098" w:right="1361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4706"/>
    <w:rsid w:val="0008725F"/>
    <w:rsid w:val="00116DAE"/>
    <w:rsid w:val="00151656"/>
    <w:rsid w:val="00160D66"/>
    <w:rsid w:val="00172A27"/>
    <w:rsid w:val="0018011C"/>
    <w:rsid w:val="00181F02"/>
    <w:rsid w:val="001A7225"/>
    <w:rsid w:val="001F61E3"/>
    <w:rsid w:val="002243FE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3EA7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6A75E3"/>
    <w:rsid w:val="006E1120"/>
    <w:rsid w:val="007616B6"/>
    <w:rsid w:val="007746FD"/>
    <w:rsid w:val="007910C1"/>
    <w:rsid w:val="007A06E1"/>
    <w:rsid w:val="007B2223"/>
    <w:rsid w:val="007D7D3A"/>
    <w:rsid w:val="007E1B8B"/>
    <w:rsid w:val="00810619"/>
    <w:rsid w:val="008155F9"/>
    <w:rsid w:val="00821E10"/>
    <w:rsid w:val="008222BF"/>
    <w:rsid w:val="00843262"/>
    <w:rsid w:val="00883F64"/>
    <w:rsid w:val="00895F09"/>
    <w:rsid w:val="00904E8A"/>
    <w:rsid w:val="00917F65"/>
    <w:rsid w:val="00930E75"/>
    <w:rsid w:val="00933AA1"/>
    <w:rsid w:val="00953B90"/>
    <w:rsid w:val="00982E66"/>
    <w:rsid w:val="00984969"/>
    <w:rsid w:val="009A0C11"/>
    <w:rsid w:val="009A5A86"/>
    <w:rsid w:val="009F568A"/>
    <w:rsid w:val="00A01DE8"/>
    <w:rsid w:val="00A03B4F"/>
    <w:rsid w:val="00A157ED"/>
    <w:rsid w:val="00A5192C"/>
    <w:rsid w:val="00A601D0"/>
    <w:rsid w:val="00AE0062"/>
    <w:rsid w:val="00AF42CC"/>
    <w:rsid w:val="00B1543D"/>
    <w:rsid w:val="00B15BDC"/>
    <w:rsid w:val="00B21A65"/>
    <w:rsid w:val="00B249AE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1552B"/>
    <w:rsid w:val="00D166AF"/>
    <w:rsid w:val="00D474E8"/>
    <w:rsid w:val="00D47E88"/>
    <w:rsid w:val="00DA4D1A"/>
    <w:rsid w:val="00DC2D37"/>
    <w:rsid w:val="00DF2163"/>
    <w:rsid w:val="00E00CB1"/>
    <w:rsid w:val="00E20115"/>
    <w:rsid w:val="00E81C98"/>
    <w:rsid w:val="00E87832"/>
    <w:rsid w:val="00EC7C65"/>
    <w:rsid w:val="00F20A91"/>
    <w:rsid w:val="00F34F3B"/>
    <w:rsid w:val="00F4796B"/>
    <w:rsid w:val="00F80197"/>
    <w:rsid w:val="02950A43"/>
    <w:rsid w:val="05FB352C"/>
    <w:rsid w:val="062C73BA"/>
    <w:rsid w:val="0F415A30"/>
    <w:rsid w:val="0FA7D9DD"/>
    <w:rsid w:val="1A1A2EA1"/>
    <w:rsid w:val="1BE3569F"/>
    <w:rsid w:val="20FE4F37"/>
    <w:rsid w:val="22666FCA"/>
    <w:rsid w:val="23957D52"/>
    <w:rsid w:val="265833FB"/>
    <w:rsid w:val="2A106D0B"/>
    <w:rsid w:val="2DCA2874"/>
    <w:rsid w:val="34EFF07A"/>
    <w:rsid w:val="377A2E5E"/>
    <w:rsid w:val="385C0DBD"/>
    <w:rsid w:val="3A57702C"/>
    <w:rsid w:val="3B7B1664"/>
    <w:rsid w:val="3F750A0E"/>
    <w:rsid w:val="447E3320"/>
    <w:rsid w:val="45CB5298"/>
    <w:rsid w:val="4783B3E0"/>
    <w:rsid w:val="4B30475B"/>
    <w:rsid w:val="4CA33CB0"/>
    <w:rsid w:val="4D14258D"/>
    <w:rsid w:val="4FBBCBE8"/>
    <w:rsid w:val="52FB079E"/>
    <w:rsid w:val="53FD98A0"/>
    <w:rsid w:val="55573127"/>
    <w:rsid w:val="57073EC0"/>
    <w:rsid w:val="59C6063C"/>
    <w:rsid w:val="5FB444DA"/>
    <w:rsid w:val="5FE4FC2F"/>
    <w:rsid w:val="63E612D4"/>
    <w:rsid w:val="693053CC"/>
    <w:rsid w:val="6AB50BAB"/>
    <w:rsid w:val="6CA056C1"/>
    <w:rsid w:val="6D957ABF"/>
    <w:rsid w:val="72775DCB"/>
    <w:rsid w:val="7312333B"/>
    <w:rsid w:val="75561D3A"/>
    <w:rsid w:val="759F93FD"/>
    <w:rsid w:val="77BF62A8"/>
    <w:rsid w:val="77CBDC4F"/>
    <w:rsid w:val="7952225A"/>
    <w:rsid w:val="7CB64A96"/>
    <w:rsid w:val="7D174045"/>
    <w:rsid w:val="7D7F7CA1"/>
    <w:rsid w:val="7D906DB7"/>
    <w:rsid w:val="7E2B8A0A"/>
    <w:rsid w:val="7E674295"/>
    <w:rsid w:val="7F7F5BE9"/>
    <w:rsid w:val="7F7FEC43"/>
    <w:rsid w:val="7FDF4F4C"/>
    <w:rsid w:val="7FFFA101"/>
    <w:rsid w:val="7FFFB6B9"/>
    <w:rsid w:val="8FDE95C1"/>
    <w:rsid w:val="9F7E60AB"/>
    <w:rsid w:val="B7FAA49B"/>
    <w:rsid w:val="B97FBA48"/>
    <w:rsid w:val="BBFB64CD"/>
    <w:rsid w:val="BFFD9E4E"/>
    <w:rsid w:val="BFFF26AA"/>
    <w:rsid w:val="CDEF3745"/>
    <w:rsid w:val="CFE20BA0"/>
    <w:rsid w:val="CFFFAEB8"/>
    <w:rsid w:val="D3C70FEA"/>
    <w:rsid w:val="DF3DB67B"/>
    <w:rsid w:val="E79F5C88"/>
    <w:rsid w:val="F7BC331B"/>
    <w:rsid w:val="F7BE539F"/>
    <w:rsid w:val="FDBE8296"/>
    <w:rsid w:val="FEDDB832"/>
    <w:rsid w:val="FFFB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眉 字符"/>
    <w:basedOn w:val="8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kern w:val="2"/>
      <w:sz w:val="18"/>
      <w:szCs w:val="18"/>
    </w:rPr>
  </w:style>
  <w:style w:type="paragraph" w:customStyle="1" w:styleId="12">
    <w:name w:val="BodyTextIndent2"/>
    <w:basedOn w:val="1"/>
    <w:qFormat/>
    <w:uiPriority w:val="0"/>
    <w:pPr>
      <w:spacing w:after="120" w:line="480" w:lineRule="auto"/>
      <w:ind w:left="360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3</Pages>
  <Words>218</Words>
  <Characters>1244</Characters>
  <Lines>10</Lines>
  <Paragraphs>2</Paragraphs>
  <TotalTime>1</TotalTime>
  <ScaleCrop>false</ScaleCrop>
  <LinksUpToDate>false</LinksUpToDate>
  <CharactersWithSpaces>1460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2021-04-10T11:49:00Z</dcterms:created>
  <dc:creator>wjc</dc:creator>
  <cp:lastModifiedBy>李长卿</cp:lastModifiedBy>
  <cp:lastPrinted>2022-09-29T12:17:00Z</cp:lastPrinted>
  <dcterms:modified xsi:type="dcterms:W3CDTF">2022-12-29T21:30:29Z</dcterms:modified>
  <dc:title>各区县委办局办公室：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