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/>
                <w:b/>
                <w:bCs/>
                <w:sz w:val="44"/>
                <w:lang w:val="en-US" w:eastAsia="zh-CN"/>
              </w:rPr>
            </w:pPr>
            <w:bookmarkStart w:id="0" w:name="bt"/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t>对市政协第十五届一次会议</w:t>
            </w:r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t>第0557号提案的落实答复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rFonts w:ascii="Nimbus Roman No9 L" w:hAnsi="Nimbus Roman No9 L" w:eastAsia="仿宋_GB2312"/>
                <w:sz w:val="32"/>
              </w:rPr>
            </w:pPr>
            <w:bookmarkStart w:id="1" w:name="chenghu"/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姚颐委员</w:t>
            </w:r>
            <w:bookmarkEnd w:id="1"/>
            <w:r>
              <w:rPr>
                <w:rFonts w:ascii="Nimbus Roman No9 L" w:hAnsi="Nimbus Roman No9 L" w:eastAsia="仿宋_GB2312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ascii="Nimbus Roman No9 L" w:hAnsi="Nimbus Roman No9 L" w:eastAsia="仿宋_GB2312"/>
                <w:sz w:val="32"/>
              </w:rPr>
            </w:pPr>
            <w:r>
              <w:rPr>
                <w:rFonts w:ascii="Nimbus Roman No9 L" w:hAnsi="Nimbus Roman No9 L" w:eastAsia="仿宋_GB2312"/>
                <w:sz w:val="32"/>
                <w:szCs w:val="18"/>
              </w:rPr>
              <w:t>　　</w:t>
            </w:r>
            <w:bookmarkStart w:id="2" w:name="shuo"/>
            <w:r>
              <w:rPr>
                <w:rFonts w:hint="eastAsia" w:ascii="Nimbus Roman No9 L" w:hAnsi="Nimbus Roman No9 L" w:eastAsia="仿宋_GB2312"/>
                <w:sz w:val="32"/>
                <w:szCs w:val="18"/>
                <w:lang w:val="en-US" w:eastAsia="zh-CN"/>
              </w:rPr>
              <w:t>您提出的关于助力天津市中小型高科技企业上市的提案，经会同市财政局、市金融局、市税务局研究答复如下</w:t>
            </w:r>
            <w:bookmarkEnd w:id="2"/>
            <w:r>
              <w:rPr>
                <w:rFonts w:ascii="Nimbus Roman No9 L" w:hAnsi="Nimbus Roman No9 L" w:eastAsia="仿宋_GB2312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105" w:rightChars="50" w:firstLine="640" w:firstLineChars="200"/>
              <w:rPr>
                <w:rFonts w:hint="eastAsia" w:ascii="Nimbus Roman No9 L" w:hAnsi="Nimbus Roman No9 L" w:eastAsia="黑体" w:cs="黑体"/>
                <w:sz w:val="32"/>
                <w:lang w:val="en" w:eastAsia="zh-CN"/>
              </w:rPr>
            </w:pPr>
            <w:r>
              <w:rPr>
                <w:rFonts w:hint="eastAsia" w:ascii="Nimbus Roman No9 L" w:hAnsi="Nimbus Roman No9 L" w:eastAsia="黑体" w:cs="黑体"/>
                <w:sz w:val="32"/>
                <w:lang w:val="en-US" w:eastAsia="zh-CN"/>
              </w:rPr>
              <w:t>一、</w:t>
            </w:r>
            <w:r>
              <w:rPr>
                <w:rFonts w:hint="eastAsia" w:ascii="Nimbus Roman No9 L" w:hAnsi="Nimbus Roman No9 L" w:eastAsia="黑体" w:cs="黑体"/>
                <w:sz w:val="32"/>
                <w:lang w:val="en" w:eastAsia="zh-CN"/>
              </w:rPr>
              <w:t>优化中小企业发展环境，分类支持科企创新发展</w:t>
            </w:r>
          </w:p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640"/>
              <w:rPr>
                <w:rFonts w:hint="eastAsia" w:ascii="Nimbus Roman No9 L" w:hAnsi="Nimbus Roman No9 L" w:eastAsia="黑体" w:cs="黑体"/>
                <w:sz w:val="32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spacing w:val="0"/>
                <w:kern w:val="0"/>
                <w:sz w:val="32"/>
                <w:szCs w:val="32"/>
                <w:lang w:val="en-US" w:eastAsia="zh-CN"/>
              </w:rPr>
              <w:t>一是高标准建设天开高教科创园。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统筹协调、全力以赴推动</w:t>
            </w:r>
            <w:r>
              <w:rPr>
                <w:rFonts w:hint="eastAsia" w:ascii="Nimbus Roman No9 L" w:hAnsi="Nimbus Roman No9 L" w:eastAsia="仿宋_GB2312"/>
                <w:b w:val="0"/>
                <w:bCs w:val="0"/>
                <w:snapToGrid w:val="0"/>
                <w:kern w:val="0"/>
                <w:sz w:val="32"/>
                <w:szCs w:val="32"/>
              </w:rPr>
              <w:t>天开园开园暨发展大会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于5月18日</w:t>
            </w:r>
            <w:r>
              <w:rPr>
                <w:rFonts w:hint="eastAsia" w:ascii="Nimbus Roman No9 L" w:hAnsi="Nimbus Roman No9 L" w:eastAsia="仿宋_GB2312"/>
                <w:b w:val="0"/>
                <w:bCs w:val="0"/>
                <w:snapToGrid w:val="0"/>
                <w:kern w:val="0"/>
                <w:sz w:val="32"/>
                <w:szCs w:val="32"/>
              </w:rPr>
              <w:t>顺利召开，</w:t>
            </w:r>
            <w:r>
              <w:rPr>
                <w:rFonts w:hint="eastAsia" w:ascii="Nimbus Roman No9 L" w:hAnsi="Nimbus Roman No9 L" w:eastAsia="仿宋_GB2312"/>
                <w:b w:val="0"/>
                <w:bCs w:val="0"/>
                <w:snapToGrid w:val="0"/>
                <w:kern w:val="0"/>
                <w:sz w:val="32"/>
                <w:szCs w:val="32"/>
                <w:lang w:eastAsia="zh-CN"/>
              </w:rPr>
              <w:t>开园即</w:t>
            </w:r>
            <w:r>
              <w:rPr>
                <w:rFonts w:hint="eastAsia" w:ascii="Nimbus Roman No9 L" w:hAnsi="Nimbus Roman No9 L" w:eastAsia="仿宋_GB2312"/>
                <w:b w:val="0"/>
                <w:bCs w:val="0"/>
                <w:snapToGrid w:val="0"/>
                <w:kern w:val="0"/>
                <w:sz w:val="32"/>
                <w:szCs w:val="32"/>
              </w:rPr>
              <w:t>打造了初具热度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</w:rPr>
              <w:t>的“天开生态”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</w:rPr>
              <w:t>创造了协同高效的“天开效率”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</w:rPr>
              <w:t>塑造了备受瞩目的“天开品牌”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lang w:eastAsia="zh-CN"/>
              </w:rPr>
              <w:t>，将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z w:val="32"/>
                <w:szCs w:val="32"/>
                <w:lang w:val="en-US" w:eastAsia="zh-CN"/>
              </w:rPr>
              <w:t>有力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spacing w:val="0"/>
                <w:kern w:val="0"/>
                <w:sz w:val="32"/>
                <w:szCs w:val="32"/>
                <w:lang w:val="en-US" w:eastAsia="zh-CN"/>
              </w:rPr>
              <w:t>促进初创科技企业成长壮大，塑造本市高质量发展新的经济增长极。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auto"/>
                <w:spacing w:val="0"/>
                <w:kern w:val="0"/>
                <w:sz w:val="32"/>
                <w:szCs w:val="32"/>
                <w:lang w:val="en-US" w:eastAsia="zh-CN"/>
              </w:rPr>
              <w:t>目前，随着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eastAsia="zh-CN"/>
              </w:rPr>
              <w:t>优秀项目持续入驻，“一核两翼”注册企业达到</w:t>
            </w:r>
            <w:r>
              <w:rPr>
                <w:rFonts w:hint="default" w:ascii="Nimbus Roman No9 L" w:hAnsi="Nimbus Roman No9 L" w:eastAsia="仿宋_GB2312" w:cs="Times New Roman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" w:eastAsia="zh-CN"/>
              </w:rPr>
              <w:t>473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/>
              </w:rPr>
              <w:t>家，科技广场入驻项目</w:t>
            </w:r>
            <w:r>
              <w:rPr>
                <w:rFonts w:hint="default" w:ascii="Nimbus Roman No9 L" w:hAnsi="Nimbus Roman No9 L" w:eastAsia="仿宋_GB2312" w:cs="Times New Roman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" w:eastAsia="zh-CN"/>
              </w:rPr>
              <w:t>144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/>
              </w:rPr>
              <w:t>个，在储项目</w:t>
            </w:r>
            <w:r>
              <w:rPr>
                <w:rFonts w:hint="default" w:ascii="Nimbus Roman No9 L" w:hAnsi="Nimbus Roman No9 L" w:eastAsia="仿宋_GB2312" w:cs="Times New Roman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" w:eastAsia="zh-CN"/>
              </w:rPr>
              <w:t>195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/>
              </w:rPr>
              <w:t>个。签约金融机构108家、服务机构95家，核心区综合服务中心打造一站式服务平台，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设立规模2亿元天开园创业种子基金，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/>
              </w:rPr>
              <w:t>先后</w:t>
            </w:r>
            <w:r>
              <w:rPr>
                <w:rFonts w:hint="eastAsia" w:ascii="Nimbus Roman No9 L" w:hAnsi="Nimbus Roman No9 L" w:eastAsia="仿宋_GB2312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/>
              </w:rPr>
              <w:t>为</w:t>
            </w:r>
            <w:r>
              <w:rPr>
                <w:rFonts w:hint="default" w:ascii="Nimbus Roman No9 L" w:hAnsi="Nimbus Roman No9 L" w:eastAsia="仿宋_GB2312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" w:eastAsia="zh-CN"/>
              </w:rPr>
              <w:t>12</w:t>
            </w:r>
            <w:r>
              <w:rPr>
                <w:rFonts w:hint="eastAsia" w:ascii="Nimbus Roman No9 L" w:hAnsi="Nimbus Roman No9 L" w:eastAsia="仿宋_GB2312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/>
              </w:rPr>
              <w:t>家企业促成天使机构投资</w:t>
            </w:r>
            <w:r>
              <w:rPr>
                <w:rFonts w:hint="default" w:ascii="Nimbus Roman No9 L" w:hAnsi="Nimbus Roman No9 L" w:eastAsia="仿宋_GB2312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" w:eastAsia="zh-CN"/>
              </w:rPr>
              <w:t>4644</w:t>
            </w:r>
            <w:r>
              <w:rPr>
                <w:rFonts w:hint="eastAsia" w:ascii="Nimbus Roman No9 L" w:hAnsi="Nimbus Roman No9 L" w:eastAsia="仿宋_GB2312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/>
              </w:rPr>
              <w:t>万元。</w:t>
            </w:r>
            <w:r>
              <w:rPr>
                <w:rFonts w:hint="eastAsia" w:ascii="Nimbus Roman No9 L" w:hAnsi="Nimbus Roman No9 L" w:eastAsia="仿宋_GB2312"/>
                <w:b w:val="0"/>
                <w:bCs w:val="0"/>
                <w:snapToGrid w:val="0"/>
                <w:kern w:val="0"/>
                <w:sz w:val="32"/>
                <w:szCs w:val="32"/>
                <w:lang w:val="en-US" w:eastAsia="zh-CN"/>
              </w:rPr>
              <w:t>编制《2023天开园活动手册》，策划5个类别、12个板块、336项活动，做到月月有主题、周周有亮点、天天有活动。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与2023天津夏季达沃斯论坛深入互动，“天开品牌”知名度和影响力日益提升。</w:t>
            </w: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二是培育壮大本市科技型企业底盘。强化科技型企业梯度培育工作，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val="en" w:eastAsia="zh-CN"/>
              </w:rPr>
              <w:t>1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val="en" w:eastAsia="zh-CN"/>
              </w:rPr>
              <w:t>—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val="en" w:eastAsia="zh-CN"/>
              </w:rPr>
              <w:t>7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val="en" w:eastAsia="zh-CN"/>
              </w:rPr>
              <w:t>月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val="en-US" w:eastAsia="zh-CN"/>
              </w:rPr>
              <w:t>评价入库国家科技型中小企业7184家，完成全年任务数的65%，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  <w:t>雏鹰企业、瞪羚企业、科技领军（培育）企业数量分别达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val="en-US" w:eastAsia="zh-CN"/>
              </w:rPr>
              <w:t>2679家、284家、287家。组织完成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2022年度科技领军（培育）企业重大创新项目评审工作，共支持立项32项，市级财政资金支持额度达到5050万元，将进一步助力企业做大做强。</w:t>
            </w:r>
            <w:r>
              <w:rPr>
                <w:rFonts w:hint="eastAsia" w:ascii="Nimbus Roman No9 L" w:hAnsi="Nimbus Roman No9 L" w:eastAsia="仿宋_GB2312" w:cs="Times New Roman"/>
                <w:b w:val="0"/>
                <w:bCs w:val="0"/>
                <w:kern w:val="2"/>
                <w:sz w:val="32"/>
                <w:szCs w:val="18"/>
                <w:lang w:val="en-US" w:eastAsia="zh-CN" w:bidi="ar-SA"/>
              </w:rPr>
              <w:t>根据中国长城战略咨询统计，2022年本市独角兽企业达到8家，海光信息、快狗打车分别在科创板、港交所上市。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三是加大企业上市服务力度。市科技局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建立</w:t>
            </w:r>
            <w:r>
              <w:rPr>
                <w:rFonts w:hint="default" w:ascii="Nimbus Roman No9 L" w:hAnsi="Nimbus Roman No9 L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12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default" w:ascii="Nimbus Roman No9 L" w:hAnsi="Nimbus Roman No9 L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家科企上市培育资源库，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分类管理、梯度培育，通过科企认定、项目支持、人才培养等方式增加企业科创属性。上半年，金海通半导体、中重科技、国安盟固利首发上市，国安盟固利通过深交所审核，我市上市科技型企业5</w:t>
            </w:r>
            <w:r>
              <w:rPr>
                <w:rFonts w:hint="default" w:ascii="Nimbus Roman No9 L" w:hAnsi="Nimbus Roman No9 L" w:eastAsia="仿宋_GB2312" w:cs="仿宋_GB2312"/>
                <w:b w:val="0"/>
                <w:bCs w:val="0"/>
                <w:kern w:val="0"/>
                <w:sz w:val="32"/>
                <w:szCs w:val="32"/>
                <w:lang w:val="en" w:eastAsia="zh-CN"/>
              </w:rPr>
              <w:t>2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家。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jc w:val="both"/>
              <w:rPr>
                <w:rFonts w:hint="eastAsia" w:ascii="Nimbus Roman No9 L" w:hAnsi="Nimbus Roman No9 L" w:eastAsia="黑体" w:cs="黑体"/>
                <w:b w:val="0"/>
                <w:bCs w:val="0"/>
                <w:sz w:val="32"/>
                <w:lang w:val="en-US" w:eastAsia="zh-CN"/>
              </w:rPr>
            </w:pPr>
            <w:r>
              <w:rPr>
                <w:rFonts w:hint="eastAsia" w:ascii="Nimbus Roman No9 L" w:hAnsi="Nimbus Roman No9 L" w:eastAsia="黑体" w:cs="黑体"/>
                <w:sz w:val="32"/>
                <w:lang w:val="en-US" w:eastAsia="zh-CN"/>
              </w:rPr>
              <w:t xml:space="preserve">    二、</w:t>
            </w:r>
            <w:r>
              <w:rPr>
                <w:rFonts w:hint="eastAsia" w:ascii="Nimbus Roman No9 L" w:hAnsi="Nimbus Roman No9 L" w:eastAsia="黑体" w:cs="黑体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以科技型企业为重点，加大金融支持服务力度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105" w:rightChars="50" w:firstLine="640" w:firstLineChars="200"/>
              <w:textAlignment w:val="auto"/>
              <w:rPr>
                <w:rFonts w:hint="default" w:ascii="Nimbus Roman No9 L" w:hAnsi="Nimbus Roman No9 L" w:eastAsia="仿宋_GB2312"/>
                <w:sz w:val="32"/>
                <w:lang w:val="en-US" w:eastAsia="zh-CN"/>
              </w:rPr>
            </w:pP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一是落实上市企业三年倍增计划。推进“三个一批”建设、完善上市支持政策、加强拟上市企业综合金融服务和提高上市公司质量等四大方面举措。以科技型企业为重点，加快上市后备企业库全面更新提质扩容。截至6月底，再审辅导企业共30家，其中科技型企业24家，占比达到80%。二是推动科创金融组织体系建设。推动银行、保险等各类金融机构在团队配置、准入条件、风险管控、业绩考核等方面探索差异化管理举措，分别在津设立信创支行、高端装备支行、科创支公司等特色机构15家，推广应用“雏鹰贷”“专精特新贷”“高新贷”等153项科创金融特色产品。推进国家开发银行支持科创型等民营小微企业专项转贷款，截至5月末已向合作的天津银行、天津农商行、滨海农商行发行转贷款21.85亿元，市级落地金额20.19亿元，共支持企业848家。三是加强综合性服务。支持建设银行在高新区建设北方区域第二家“创业者港湾旗舰店”，与开发区合作建设“创业者港湾联盟店”，在科技企业集聚区域探索为小微创业企业提供企业创设、信贷融资、股权投资、产业对接、辅导培训一站式综合服务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105" w:rightChars="50" w:firstLine="640" w:firstLineChars="200"/>
              <w:rPr>
                <w:rFonts w:hint="eastAsia" w:ascii="Nimbus Roman No9 L" w:hAnsi="Nimbus Roman No9 L" w:eastAsia="黑体" w:cs="黑体"/>
                <w:sz w:val="32"/>
                <w:lang w:val="en-US" w:eastAsia="zh-CN"/>
              </w:rPr>
            </w:pPr>
            <w:r>
              <w:rPr>
                <w:rFonts w:hint="eastAsia" w:ascii="Nimbus Roman No9 L" w:hAnsi="Nimbus Roman No9 L" w:eastAsia="黑体" w:cs="黑体"/>
                <w:sz w:val="32"/>
                <w:lang w:val="en-US" w:eastAsia="zh-CN"/>
              </w:rPr>
              <w:t>三、加大财税支持力度，推动科技型企业提质增效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60" w:lineRule="exact"/>
              <w:ind w:firstLine="627" w:firstLineChars="196"/>
              <w:jc w:val="both"/>
              <w:textAlignment w:val="baseline"/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eastAsia="zh-CN"/>
              </w:rPr>
              <w:t>一是产业</w:t>
            </w:r>
            <w:r>
              <w:rPr>
                <w:rFonts w:hint="eastAsia" w:ascii="Nimbus Roman No9 L" w:hAnsi="Nimbus Roman No9 L" w:eastAsia="仿宋_GB2312" w:cs="Times New Roman"/>
                <w:sz w:val="32"/>
                <w:lang w:val="en-US" w:eastAsia="zh-CN"/>
              </w:rPr>
              <w:t>基金支持企业高质量发展</w:t>
            </w:r>
            <w:r>
              <w:rPr>
                <w:rFonts w:hint="default" w:ascii="Nimbus Roman No9 L" w:hAnsi="Nimbus Roman No9 L" w:eastAsia="仿宋_GB2312" w:cs="Times New Roman"/>
                <w:sz w:val="32"/>
                <w:lang w:val="en-US" w:eastAsia="zh-CN"/>
              </w:rPr>
              <w:t>。高度重视产业基金在支持制造业高质量发展方面的积极作用，截至目前，累计出资海河产业基金128.9亿元，引导基金实缴出资163亿元，带动母基金出资672亿元，母基金累计投资项目和子基金559个，投资金额500亿元，主要集中信创、半导体、智能制造、智慧出行、生物医药、新能源、新材料和现代物联等重点产业。通过投资带动，招商引入爱旭科技、华熙生物、美新半导体、博瑞生物等项目248个，实际投资到位1584亿元。</w:t>
            </w:r>
            <w:r>
              <w:rPr>
                <w:rFonts w:hint="eastAsia" w:ascii="Nimbus Roman No9 L" w:hAnsi="Nimbus Roman No9 L" w:eastAsia="仿宋_GB2312" w:cs="Times New Roman"/>
                <w:sz w:val="32"/>
                <w:lang w:val="en-US" w:eastAsia="zh-CN"/>
              </w:rPr>
              <w:t>二是减税红利支持企业创新。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eastAsia="zh-CN"/>
              </w:rPr>
              <w:t>自2022年1月1日起，将科技型中小企业研发费用加计扣除比例由75%提高至100%。在2022年10月1日至2022年12月31日期间，对现行适用研发费用税前加计扣除比例75%的企业，将其加计扣除比例提高至100%。实施固定资产一次性扣除优惠政策，企业在2018年1月1日至202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eastAsia="zh-CN"/>
              </w:rPr>
              <w:t>年12月31日期间新购进的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val="en-US" w:eastAsia="zh-CN"/>
              </w:rPr>
              <w:t>500万元以下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eastAsia="zh-CN"/>
              </w:rPr>
              <w:t>设备、器具，允许一次性计入当期成本费用在计算应纳税所得额时扣除，不再分年度计算折旧。三是加大对高端人才支持力度。</w:t>
            </w:r>
            <w:r>
              <w:rPr>
                <w:rFonts w:hint="default" w:ascii="Nimbus Roman No9 L" w:hAnsi="Nimbus Roman No9 L" w:eastAsia="仿宋_GB2312"/>
                <w:sz w:val="32"/>
                <w:lang w:val="en-US" w:eastAsia="zh-CN"/>
              </w:rPr>
              <w:t>我市深入实施“海河英才”计划，对我市引进的高层次人才给予给予奖励资助，并在子女入学、配偶就业、医疗保健等方面给予相应政策支持。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eastAsia="zh-CN"/>
              </w:rPr>
              <w:t>出台股权激励个人所得税优惠政策，对符合条件的非上市公司给予技术骨干和高级管理人员的股票期权、股权期权、限制性股票和股权奖励实行个人所得税递延纳税政策。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/>
              <w:jc w:val="left"/>
              <w:textAlignment w:val="auto"/>
              <w:rPr>
                <w:rFonts w:hint="eastAsia" w:ascii="Nimbus Roman No9 L" w:hAnsi="Nimbus Roman No9 L" w:eastAsia="仿宋_GB2312"/>
                <w:b w:val="0"/>
                <w:bCs w:val="0"/>
                <w:sz w:val="32"/>
                <w:lang w:val="en-US" w:eastAsia="zh-CN"/>
              </w:rPr>
            </w:pPr>
            <w:r>
              <w:rPr>
                <w:rFonts w:hint="eastAsia" w:ascii="Nimbus Roman No9 L" w:hAnsi="Nimbus Roman No9 L" w:eastAsia="仿宋_GB2312"/>
                <w:b w:val="0"/>
                <w:bCs w:val="0"/>
                <w:sz w:val="32"/>
                <w:lang w:val="en-US" w:eastAsia="zh-CN"/>
              </w:rPr>
              <w:t>下一步，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eastAsia="zh-CN"/>
              </w:rPr>
              <w:t>市科技局将按照市委、市政府“十项行动”部署，会同相关部门，不断完善扶持机制，精准配套支持政策，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持续推动科技型企业高质高效发展。一是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eastAsia="zh-CN"/>
              </w:rPr>
              <w:t>继续强化企业创新主体地位，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</w:rPr>
              <w:t>以壮大科技型企业规模为基础，以提升企业研发能力为核心，加快企业关键核心技术攻关，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eastAsia="zh-CN"/>
              </w:rPr>
              <w:t>加大财税支持力度，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</w:rPr>
              <w:t>多方位降低企业研发成本，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eastAsia="zh-CN"/>
              </w:rPr>
              <w:t>培育形成一批高成长科技型企业。二是高水平推动天开高教科创园建设。加快推动科技广场2、3、4号楼体装修提升改造工程，切实吸引一批优质科研成果到天开园转化孵化，打造成创新创业者“乐土”。加快推动“两翼”拓展区制定规划方案，重点布局一批概念验证平台、中试基地和产业化园区，做好成果从研发、孵化、培育、加速到转化、产业化全链条衔接。三是立足北交所服务创新型中小企业功能定位，抢抓北交所提质扩容机遇期，推动我市科技型中小企业登陆北交所，利用资本市场实现快速发展。四是推动落实上市企业三年倍增行动计划，实现“增量倍增、储备倍增、市值倍增”三大目标，提高上市公司盈率，打造优质上市公司，发挥上市龙头企业产业聚集作用。五是贯彻落实区域性股权市场制度和业务创新试点，构建并实施“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3+2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eastAsia="zh-CN"/>
              </w:rPr>
              <w:t>”服务体系，加大中小微企业服务力度。六是加大基金支持力度，鼓励股权投资基金等投资机构“投早、投小、投硬科技”，支持政府产业基金引导社会资本，投向重点产业链科技型企业。七是提升金融支持科技企业发展精准性，组织金融机构聚焦科技创新发展规律和金融需求，持续推进科创金融组织创新发展、丰富科创金融产品和业务模式、完善科创金融服务平台功能，全方位支持科技创新全生命周期多样化金融需求。</w:t>
            </w:r>
          </w:p>
          <w:p>
            <w:pPr>
              <w:spacing w:line="560" w:lineRule="exact"/>
              <w:ind w:left="0" w:leftChars="0" w:right="105" w:rightChars="50" w:firstLine="640" w:firstLineChars="200"/>
              <w:rPr>
                <w:rFonts w:hint="default" w:ascii="Nimbus Roman No9 L" w:hAnsi="Nimbus Roman No9 L" w:eastAsia="仿宋_GB2312"/>
                <w:sz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eastAsia" w:ascii="Nimbus Roman No9 L" w:hAnsi="Nimbus Roman No9 L"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jc w:val="center"/>
              <w:rPr>
                <w:rFonts w:hint="eastAsia" w:ascii="Nimbus Roman No9 L" w:hAnsi="Nimbus Roman No9 L" w:eastAsia="仿宋_GB2312"/>
                <w:sz w:val="32"/>
              </w:rPr>
            </w:pPr>
            <w:bookmarkStart w:id="3" w:name="now"/>
            <w:r>
              <w:rPr>
                <w:rFonts w:hint="default" w:ascii="Nimbus Roman No9 L" w:hAnsi="Nimbus Roman No9 L" w:eastAsia="仿宋_GB2312"/>
                <w:sz w:val="32"/>
                <w:lang w:val="en" w:eastAsia="zh-CN"/>
              </w:rPr>
              <w:t xml:space="preserve">                           </w:t>
            </w: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2023年9月1日</w:t>
            </w:r>
            <w:bookmarkEnd w:id="3"/>
            <w:r>
              <w:rPr>
                <w:rFonts w:hint="eastAsia" w:ascii="Nimbus Roman No9 L" w:hAnsi="Nimbus Roman No9 L" w:eastAsia="仿宋_GB2312"/>
                <w:sz w:val="32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spacing w:line="480" w:lineRule="exact"/>
              <w:ind w:right="105" w:rightChars="50"/>
              <w:rPr>
                <w:rFonts w:hint="default" w:ascii="Nimbus Roman No9 L" w:hAnsi="Nimbus Roman No9 L" w:eastAsia="仿宋_GB2312"/>
                <w:sz w:val="32"/>
                <w:lang w:val="en-US" w:eastAsia="zh-CN"/>
              </w:rPr>
            </w:pPr>
            <w:bookmarkStart w:id="4" w:name="fyr"/>
            <w:bookmarkEnd w:id="4"/>
            <w:r>
              <w:rPr>
                <w:rFonts w:hint="eastAsia" w:ascii="Nimbus Roman No9 L" w:hAnsi="Nimbus Roman No9 L" w:eastAsia="仿宋_GB2312"/>
                <w:sz w:val="32"/>
                <w:lang w:eastAsia="zh-CN"/>
              </w:rPr>
              <w:t>（联系单位及电话：天津市科学技术局，</w:t>
            </w: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022-58326703</w:t>
            </w:r>
            <w:r>
              <w:rPr>
                <w:rFonts w:hint="eastAsia" w:ascii="Nimbus Roman No9 L" w:hAnsi="Nimbus Roman No9 L" w:eastAsia="仿宋_GB2312"/>
                <w:sz w:val="32"/>
                <w:lang w:eastAsia="zh-CN"/>
              </w:rPr>
              <w:t>）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5AA92F8"/>
    <w:rsid w:val="377A2E5E"/>
    <w:rsid w:val="385C0DBD"/>
    <w:rsid w:val="3A4EBB55"/>
    <w:rsid w:val="3A57702C"/>
    <w:rsid w:val="447E3320"/>
    <w:rsid w:val="45CB5298"/>
    <w:rsid w:val="47B5D301"/>
    <w:rsid w:val="4B30475B"/>
    <w:rsid w:val="4CA33CB0"/>
    <w:rsid w:val="4D14258D"/>
    <w:rsid w:val="57073EC0"/>
    <w:rsid w:val="59C6063C"/>
    <w:rsid w:val="5DF54FF8"/>
    <w:rsid w:val="63E612D4"/>
    <w:rsid w:val="693053CC"/>
    <w:rsid w:val="6AB50BAB"/>
    <w:rsid w:val="6AF7236F"/>
    <w:rsid w:val="6CA056C1"/>
    <w:rsid w:val="6D957ABF"/>
    <w:rsid w:val="7312333B"/>
    <w:rsid w:val="75561D3A"/>
    <w:rsid w:val="773FF883"/>
    <w:rsid w:val="7952225A"/>
    <w:rsid w:val="7D174045"/>
    <w:rsid w:val="7D906DB7"/>
    <w:rsid w:val="7E674295"/>
    <w:rsid w:val="7FFC8B52"/>
    <w:rsid w:val="BF57831D"/>
    <w:rsid w:val="D8FFE700"/>
    <w:rsid w:val="EDE7A073"/>
    <w:rsid w:val="F57786DF"/>
    <w:rsid w:val="FBBFD387"/>
    <w:rsid w:val="FFBF05FC"/>
    <w:rsid w:val="FFC91F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2021-04-07T19:49:00Z</dcterms:created>
  <dc:creator>wjc</dc:creator>
  <cp:lastModifiedBy>李长卿</cp:lastModifiedBy>
  <dcterms:modified xsi:type="dcterms:W3CDTF">2023-12-15T16:28:50Z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