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天津市促进科技成果“先使用后付费”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第一条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Nimbus Roman No9 L" w:hAnsi="Nimbus Roman No9 L" w:eastAsia="楷体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（目的意义）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为贯彻落实党的二十届三中全会精神，深化科技成果转化机制改革，探索“先使用后付费”机制和模式，提</w:t>
      </w:r>
      <w:r>
        <w:rPr>
          <w:rFonts w:hint="eastAsia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成果转化效率，</w:t>
      </w:r>
      <w:r>
        <w:rPr>
          <w:rFonts w:hint="default" w:cs="Nimbus Roman No9 L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32"/>
          <w:szCs w:val="32"/>
          <w:lang w:val="en-US" w:eastAsia="zh-CN" w:bidi="ar"/>
        </w:rPr>
        <w:t>加快培育发展新质生产力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，制定本办法。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第二条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Nimbus Roman No9 L" w:hAnsi="Nimbus Roman No9 L" w:eastAsia="楷体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（科技成果）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本办法所称科技成果是指市内外的高校</w:t>
      </w:r>
      <w:r>
        <w:rPr>
          <w:rFonts w:hint="eastAsia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、科研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院所（以下简称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高校院所，含医疗卫生机构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）已获授权且有效的专利技术、计算机软件著作、集成电路布图设计、植物新品种以及生物医药新品种等技术成果。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第三条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Nimbus Roman No9 L" w:hAnsi="Nimbus Roman No9 L" w:eastAsia="楷体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（先使用后付费）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本办法所称“先使用后付费”是指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高校院所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将科技成果“零门槛”先行许可给本市企业使用，双方事先约定合作模式、费用支付</w:t>
      </w:r>
      <w:r>
        <w:rPr>
          <w:rFonts w:hint="eastAsia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形式和节点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、违约责任等事项，</w:t>
      </w:r>
      <w:r>
        <w:rPr>
          <w:rFonts w:hint="default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通过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约定采取“延期支付”“阶段性支付”或“收入提成”等方式支付费用。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</w:t>
      </w:r>
      <w:r>
        <w:rPr>
          <w:rFonts w:hint="eastAsia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条</w:t>
      </w:r>
      <w:r>
        <w:rPr>
          <w:rFonts w:hint="eastAsia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合同签订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高校院所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、企业、技术转移机构开展科技成果“先使用后付费”合作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的，双方或三方应签订符合法律法规要求的技术合同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。技术合同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包括但不限于以下内容：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成果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类型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、合作内容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及形式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、交付标准、费用支付时间与方式、违约责任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、争议解决方式等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，保障各方合法权益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。双方履行合同中发生争议的，可通过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协商、仲裁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机构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仲裁、法院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判决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方式解决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条 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转化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服务平台）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拓展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现有科技成果转化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服务功能，搭建科技成果“先使用后付费”转化服务平台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，实现科技成果、技术需求、对接活动、技术转移机构、金融产品等信息的展示、发布、查找。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高校院所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、企业可借助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转化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服务平台资源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自主开展对接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或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通过技术转移机构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对接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。鼓励以“先使用后付费”方式开展合作的项目在转化服务平台登记，以便享受相关政策。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outlineLvl w:val="9"/>
        <w:rPr>
          <w:rFonts w:hint="default" w:cs="Nimbus Roman No9 L"/>
          <w:b w:val="0"/>
          <w:bCs w:val="0"/>
          <w:i w:val="0"/>
          <w:iCs w:val="0"/>
          <w:caps w:val="0"/>
          <w:color w:val="FF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Nimbus Roman No9 L" w:hAnsi="Nimbus Roman No9 L" w:eastAsia="楷体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Nimbus Roman No9 L" w:hAnsi="Nimbus Roman No9 L" w:eastAsia="楷体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技术转移</w:t>
      </w:r>
      <w:r>
        <w:rPr>
          <w:rFonts w:hint="default" w:ascii="Nimbus Roman No9 L" w:hAnsi="Nimbus Roman No9 L" w:eastAsia="楷体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服务）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鼓励</w:t>
      </w:r>
      <w:bookmarkStart w:id="0" w:name="_GoBack"/>
      <w:bookmarkEnd w:id="0"/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我市技术转移机构为科技成果“先使用后付费”供需双方，在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资源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对接、知识产权、金融、法务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、争议解决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等方面提供全流程、专业化服务。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技术转移机构促成高校院所、企业签订技术合同的，按照单项成果不超过0.2万元的标准，择优给予技术转移机构补助；技术转移机构与高校院所、企业签订三方合同，并在合同中明确技术转移机构为双方提供履约服务或担保责任的，按照促成技术合同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到账金额的1%、单项成果不超过0.3万元，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择优</w:t>
      </w:r>
      <w:r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  <w:t>再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给予技术转移机构补助。单个技术转移机构每年补助金额不超过20万元。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2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七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（金融服务）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鼓励金融机构开发科技成果“先使用后付费”相关保险、担保等科技金融产品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为供需双方提供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专业化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金融服务，保障各方合法权益。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支持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金融机构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在转化服务平台宣介展示相关产品，并通过持续丰富产品种类、降低保费等方式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吸引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企业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高校院所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、技术转移机构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购买科技金融产品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。视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金融机构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相关金融产品应用情况、风险分担情况等成果转化绩效，纳入我市成果转化后补助给予支持。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</w:t>
      </w:r>
      <w:r>
        <w:rPr>
          <w:rFonts w:hint="eastAsia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八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条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（深化合作）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支持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企业和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高校院所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围绕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“先使用后付费”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转化的成果，持续开展深入合作，联合开展技术开发、产品研制的，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纳入我市企业研发能力建设项目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支持范围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，择优给予</w:t>
      </w: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不超过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200万元项目支持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九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（失信惩戒）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高校院所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  <w:t>、企业、技术转移机构、金融机构等各方履约情况，按</w:t>
      </w:r>
      <w:r>
        <w:rPr>
          <w:rStyle w:val="11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  <w:t>相关规定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  <w:t>记入科研诚信数据库</w:t>
      </w:r>
      <w:r>
        <w:rPr>
          <w:rStyle w:val="11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  <w:t>，作为科研项目和科技奖励申报、补助奖金申请、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  <w:t>创新平台及机构</w:t>
      </w:r>
      <w:r>
        <w:rPr>
          <w:rStyle w:val="11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  <w:t>载体备案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  <w:t>认定</w:t>
      </w:r>
      <w:r>
        <w:rPr>
          <w:rStyle w:val="11"/>
          <w:rFonts w:hint="eastAsia" w:ascii="仿宋_GB2312" w:hAnsi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eastAsia="zh-CN"/>
        </w:rPr>
        <w:t>等重要依据。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</w:t>
      </w:r>
      <w:r>
        <w:rPr>
          <w:rFonts w:hint="eastAsia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十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协同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推动）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强化市区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协同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鼓励各区、各园区积极推动科技成果“先使用后付费”工作，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及时解决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机制探索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中的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具体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问题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形成市区联动良好局面</w:t>
      </w:r>
      <w:r>
        <w:rPr>
          <w:rFonts w:hint="default" w:ascii="Nimbus Roman No9 L" w:hAnsi="Nimbus Roman No9 L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Nimbus Roman No9 L" w:hAnsi="Nimbus Roman No9 L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吸引科技成果</w:t>
      </w:r>
      <w:r>
        <w:rPr>
          <w:rFonts w:hint="eastAsia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区域内</w:t>
      </w:r>
      <w:r>
        <w:rPr>
          <w:rFonts w:hint="eastAsia" w:ascii="Nimbus Roman No9 L" w:hAnsi="Nimbus Roman No9 L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落地转化</w:t>
      </w:r>
      <w:r>
        <w:rPr>
          <w:rFonts w:hint="default" w:ascii="Nimbus Roman No9 L" w:hAnsi="Nimbus Roman No9 L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（宣传引导）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加强政策宣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传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引导更多</w:t>
      </w:r>
      <w:r>
        <w:rPr>
          <w:rFonts w:hint="eastAsia" w:cs="Nimbus Roman No9 L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高校院所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、企业、技术转移机构、金融机构积极参与</w:t>
      </w:r>
      <w:r>
        <w:rPr>
          <w:rFonts w:hint="eastAsia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及时总结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宣传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典型案例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、经验模式，积极营造成果转化良好生态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各方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在成果汇集、供需对接、合同签订等环节中，加强科技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保密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意识，确保信息安全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第十</w:t>
      </w:r>
      <w:r>
        <w:rPr>
          <w:rFonts w:hint="eastAsia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 （实施期限）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本办法自印发之日起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实施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，有效期</w:t>
      </w:r>
      <w:r>
        <w:rPr>
          <w:rFonts w:hint="default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年。</w:t>
      </w:r>
      <w:r>
        <w:rPr>
          <w:rFonts w:hint="eastAsia" w:ascii="Nimbus Roman No9 L" w:hAnsi="Nimbus Roman No9 L" w:cs="Nimbus Roman No9 L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国家或我市出台新规定后，与本办法不一致的，以国家或我市新规定为准。</w:t>
      </w:r>
    </w:p>
    <w:p>
      <w:pPr>
        <w:pStyle w:val="2"/>
        <w:rPr>
          <w:rFonts w:hint="default"/>
          <w:b w:val="0"/>
          <w:bCs w:val="0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CduQvY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NDNiOGFhZDgyYWUxMmUzNmFiYzY3MTQ0MWRmZDMifQ=="/>
  </w:docVars>
  <w:rsids>
    <w:rsidRoot w:val="00000000"/>
    <w:rsid w:val="02D831C2"/>
    <w:rsid w:val="07BD895B"/>
    <w:rsid w:val="082616D5"/>
    <w:rsid w:val="0D3C4225"/>
    <w:rsid w:val="0F6B527E"/>
    <w:rsid w:val="13C63743"/>
    <w:rsid w:val="18896633"/>
    <w:rsid w:val="19513BE9"/>
    <w:rsid w:val="1A95049C"/>
    <w:rsid w:val="1B77E318"/>
    <w:rsid w:val="1D5F204B"/>
    <w:rsid w:val="1E7F7E26"/>
    <w:rsid w:val="1EB891DF"/>
    <w:rsid w:val="1FBB1738"/>
    <w:rsid w:val="1FF95547"/>
    <w:rsid w:val="1FFE00EF"/>
    <w:rsid w:val="2558233C"/>
    <w:rsid w:val="25A44FF0"/>
    <w:rsid w:val="269C6FCF"/>
    <w:rsid w:val="2AEF5913"/>
    <w:rsid w:val="2AF38A91"/>
    <w:rsid w:val="2B2230AF"/>
    <w:rsid w:val="2DE718F4"/>
    <w:rsid w:val="2DEDE9C4"/>
    <w:rsid w:val="2FB7E9F0"/>
    <w:rsid w:val="2FE7833D"/>
    <w:rsid w:val="3036513C"/>
    <w:rsid w:val="32F6CE86"/>
    <w:rsid w:val="34723B00"/>
    <w:rsid w:val="34E655AE"/>
    <w:rsid w:val="36B7FFF9"/>
    <w:rsid w:val="37EF848A"/>
    <w:rsid w:val="3A870DD9"/>
    <w:rsid w:val="3ACA0573"/>
    <w:rsid w:val="3ACF2F9B"/>
    <w:rsid w:val="3AF917B9"/>
    <w:rsid w:val="3C4446EB"/>
    <w:rsid w:val="3DB713E8"/>
    <w:rsid w:val="3DFD4D83"/>
    <w:rsid w:val="3EAB0813"/>
    <w:rsid w:val="3EEECBE1"/>
    <w:rsid w:val="3FC20BDF"/>
    <w:rsid w:val="3FDBCF94"/>
    <w:rsid w:val="3FE715BF"/>
    <w:rsid w:val="3FFBA564"/>
    <w:rsid w:val="3FFE9642"/>
    <w:rsid w:val="3FFF6DAC"/>
    <w:rsid w:val="49F650E8"/>
    <w:rsid w:val="4BBE4CCF"/>
    <w:rsid w:val="4EFF9BCA"/>
    <w:rsid w:val="4FDF2229"/>
    <w:rsid w:val="51FED7AB"/>
    <w:rsid w:val="53FFA145"/>
    <w:rsid w:val="56715244"/>
    <w:rsid w:val="56D20BB0"/>
    <w:rsid w:val="579FA6A0"/>
    <w:rsid w:val="57D14668"/>
    <w:rsid w:val="57FF29DE"/>
    <w:rsid w:val="59760A95"/>
    <w:rsid w:val="59FA4ADF"/>
    <w:rsid w:val="5BBF3D9B"/>
    <w:rsid w:val="5BF55424"/>
    <w:rsid w:val="5BF7D6C1"/>
    <w:rsid w:val="5E2F0506"/>
    <w:rsid w:val="5E3BCB15"/>
    <w:rsid w:val="5F0E9451"/>
    <w:rsid w:val="5F7741EC"/>
    <w:rsid w:val="5FB7317D"/>
    <w:rsid w:val="5FBFDAD7"/>
    <w:rsid w:val="5FEF0508"/>
    <w:rsid w:val="5FF524DA"/>
    <w:rsid w:val="5FF75B92"/>
    <w:rsid w:val="5FFE94C0"/>
    <w:rsid w:val="5FFF1784"/>
    <w:rsid w:val="611C8C26"/>
    <w:rsid w:val="63D731CD"/>
    <w:rsid w:val="64FEA98D"/>
    <w:rsid w:val="67BD19B3"/>
    <w:rsid w:val="67EC075C"/>
    <w:rsid w:val="6BE6B635"/>
    <w:rsid w:val="6BFB17AA"/>
    <w:rsid w:val="6DCDDCC7"/>
    <w:rsid w:val="6E0C2721"/>
    <w:rsid w:val="6EB9AD46"/>
    <w:rsid w:val="6EE34B66"/>
    <w:rsid w:val="6F7F2051"/>
    <w:rsid w:val="6FFB007C"/>
    <w:rsid w:val="6FFB4EB0"/>
    <w:rsid w:val="6FFFFDC7"/>
    <w:rsid w:val="70FD3CA1"/>
    <w:rsid w:val="711FC438"/>
    <w:rsid w:val="72E41630"/>
    <w:rsid w:val="73DFD576"/>
    <w:rsid w:val="73F7AD92"/>
    <w:rsid w:val="745A6E93"/>
    <w:rsid w:val="753D6790"/>
    <w:rsid w:val="76B23E53"/>
    <w:rsid w:val="772F636C"/>
    <w:rsid w:val="77B7DEF0"/>
    <w:rsid w:val="77DC40A2"/>
    <w:rsid w:val="77E7B8E9"/>
    <w:rsid w:val="77FDE09E"/>
    <w:rsid w:val="783EE492"/>
    <w:rsid w:val="795384E4"/>
    <w:rsid w:val="797FEA18"/>
    <w:rsid w:val="79BED7C1"/>
    <w:rsid w:val="79DB04CD"/>
    <w:rsid w:val="79FF4442"/>
    <w:rsid w:val="7AFC3497"/>
    <w:rsid w:val="7AFE7974"/>
    <w:rsid w:val="7BD0DEE6"/>
    <w:rsid w:val="7BDFCF54"/>
    <w:rsid w:val="7BF563D1"/>
    <w:rsid w:val="7BFB2246"/>
    <w:rsid w:val="7D77A7A6"/>
    <w:rsid w:val="7D8C697F"/>
    <w:rsid w:val="7DB70121"/>
    <w:rsid w:val="7DBADD1F"/>
    <w:rsid w:val="7DBF47A8"/>
    <w:rsid w:val="7DBFB182"/>
    <w:rsid w:val="7DF81A6F"/>
    <w:rsid w:val="7DFB085D"/>
    <w:rsid w:val="7DFE7311"/>
    <w:rsid w:val="7DFE8646"/>
    <w:rsid w:val="7DFF4A36"/>
    <w:rsid w:val="7DFF8CF5"/>
    <w:rsid w:val="7DFFDBC2"/>
    <w:rsid w:val="7E6F7800"/>
    <w:rsid w:val="7E7F0BD5"/>
    <w:rsid w:val="7F3F246F"/>
    <w:rsid w:val="7F7B55EF"/>
    <w:rsid w:val="7F978610"/>
    <w:rsid w:val="7FBBFDC3"/>
    <w:rsid w:val="7FBF4DDC"/>
    <w:rsid w:val="7FD241EB"/>
    <w:rsid w:val="7FDBA741"/>
    <w:rsid w:val="7FDF1AF8"/>
    <w:rsid w:val="7FF6116C"/>
    <w:rsid w:val="7FFF8323"/>
    <w:rsid w:val="85754DBC"/>
    <w:rsid w:val="85D8EE4C"/>
    <w:rsid w:val="8FFD8D3D"/>
    <w:rsid w:val="94EDA430"/>
    <w:rsid w:val="953D4393"/>
    <w:rsid w:val="9D4B5CFF"/>
    <w:rsid w:val="9D77EA16"/>
    <w:rsid w:val="9F312C50"/>
    <w:rsid w:val="9F3D5516"/>
    <w:rsid w:val="AD6B863B"/>
    <w:rsid w:val="ADDA2A2C"/>
    <w:rsid w:val="ADFB7697"/>
    <w:rsid w:val="AE8BB657"/>
    <w:rsid w:val="AECD3FF3"/>
    <w:rsid w:val="AEFF22FF"/>
    <w:rsid w:val="B2BDC1BA"/>
    <w:rsid w:val="B5D91450"/>
    <w:rsid w:val="B5FFF7B1"/>
    <w:rsid w:val="B76DBBBE"/>
    <w:rsid w:val="B7A382BD"/>
    <w:rsid w:val="B7F691F5"/>
    <w:rsid w:val="B7FF7AA0"/>
    <w:rsid w:val="B7FFAA3E"/>
    <w:rsid w:val="BA7B23C6"/>
    <w:rsid w:val="BABF3BB3"/>
    <w:rsid w:val="BDBBA3C5"/>
    <w:rsid w:val="BDE696FF"/>
    <w:rsid w:val="BE67F3D0"/>
    <w:rsid w:val="BEB3ABC2"/>
    <w:rsid w:val="BEF70264"/>
    <w:rsid w:val="BF0771AB"/>
    <w:rsid w:val="BF3A79D1"/>
    <w:rsid w:val="BFEF290D"/>
    <w:rsid w:val="BFEF5C5E"/>
    <w:rsid w:val="BFEF829B"/>
    <w:rsid w:val="BFFB1E9D"/>
    <w:rsid w:val="BFFFF84D"/>
    <w:rsid w:val="C53A0E90"/>
    <w:rsid w:val="C65F82CC"/>
    <w:rsid w:val="C7FFF530"/>
    <w:rsid w:val="C87F90FB"/>
    <w:rsid w:val="CF7F2A2F"/>
    <w:rsid w:val="CFDF65F0"/>
    <w:rsid w:val="D345BEF3"/>
    <w:rsid w:val="D49F8DB1"/>
    <w:rsid w:val="D5640C0F"/>
    <w:rsid w:val="D5E1FF99"/>
    <w:rsid w:val="D6F93B0D"/>
    <w:rsid w:val="D7B4F88E"/>
    <w:rsid w:val="DAFD4AB3"/>
    <w:rsid w:val="DEF71CB8"/>
    <w:rsid w:val="DFD57FB5"/>
    <w:rsid w:val="DFE3FFEE"/>
    <w:rsid w:val="DFFC0696"/>
    <w:rsid w:val="DFFF2CFA"/>
    <w:rsid w:val="E31DE503"/>
    <w:rsid w:val="E3DF3E51"/>
    <w:rsid w:val="E74F641B"/>
    <w:rsid w:val="E77F92E6"/>
    <w:rsid w:val="E79F1936"/>
    <w:rsid w:val="E7AF976B"/>
    <w:rsid w:val="E7BE3787"/>
    <w:rsid w:val="EAF90A0A"/>
    <w:rsid w:val="EB1831F5"/>
    <w:rsid w:val="EB7F704E"/>
    <w:rsid w:val="ECE76004"/>
    <w:rsid w:val="EF3E1BAF"/>
    <w:rsid w:val="EFBFC68F"/>
    <w:rsid w:val="EFFA7F05"/>
    <w:rsid w:val="F3FB39D2"/>
    <w:rsid w:val="F5FFE77C"/>
    <w:rsid w:val="F76F4283"/>
    <w:rsid w:val="F78F0BF3"/>
    <w:rsid w:val="F7FB5163"/>
    <w:rsid w:val="F97B065C"/>
    <w:rsid w:val="F9BAD9B6"/>
    <w:rsid w:val="FBAD5EDA"/>
    <w:rsid w:val="FBBFBC2D"/>
    <w:rsid w:val="FBEF0ACE"/>
    <w:rsid w:val="FBFB5760"/>
    <w:rsid w:val="FC3E7A15"/>
    <w:rsid w:val="FCDE7B0C"/>
    <w:rsid w:val="FCFB395A"/>
    <w:rsid w:val="FCFE2E81"/>
    <w:rsid w:val="FCFF5CAD"/>
    <w:rsid w:val="FD6EDBDA"/>
    <w:rsid w:val="FDE78540"/>
    <w:rsid w:val="FDF385E5"/>
    <w:rsid w:val="FE5252E8"/>
    <w:rsid w:val="FE734873"/>
    <w:rsid w:val="FE77E0E7"/>
    <w:rsid w:val="FEF7ED5E"/>
    <w:rsid w:val="FF79101E"/>
    <w:rsid w:val="FF7E44AD"/>
    <w:rsid w:val="FFB5943A"/>
    <w:rsid w:val="FFCB1151"/>
    <w:rsid w:val="FFD94280"/>
    <w:rsid w:val="FFDF884E"/>
    <w:rsid w:val="FFDFF274"/>
    <w:rsid w:val="FFE69018"/>
    <w:rsid w:val="FFEFB70B"/>
    <w:rsid w:val="FFF6D0FF"/>
    <w:rsid w:val="FFFB23EA"/>
    <w:rsid w:val="FFFFD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imbus Roman No9 L" w:hAnsi="Nimbus Roman No9 L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napToGrid w:val="0"/>
      <w:spacing w:line="400" w:lineRule="exact"/>
      <w:jc w:val="center"/>
      <w:outlineLvl w:val="2"/>
    </w:pPr>
    <w:rPr>
      <w:rFonts w:ascii="方正小标宋简体" w:hAnsi="黑体" w:eastAsia="方正小标宋简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  <w:ind w:firstLine="640" w:firstLineChars="200"/>
    </w:pPr>
    <w:rPr>
      <w:rFonts w:ascii="Times New Roman" w:hAnsi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Nimbus Roman No9 L" w:hAnsi="Nimbus Roman No9 L" w:eastAsia="仿宋_GB2312" w:cs="Times New Roman"/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spacing w:after="0"/>
      <w:ind w:left="0" w:leftChars="0" w:firstLine="40" w:firstLineChars="200"/>
    </w:pPr>
    <w:rPr>
      <w:rFonts w:ascii="仿宋_GB2312" w:hAnsi="仿宋_GB2312" w:eastAsia="仿宋" w:cs="仿宋_GB2312"/>
      <w:sz w:val="32"/>
      <w:szCs w:val="32"/>
    </w:rPr>
  </w:style>
  <w:style w:type="table" w:styleId="10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1339</Words>
  <Characters>1346</Characters>
  <Lines>0</Lines>
  <Paragraphs>0</Paragraphs>
  <TotalTime>7</TotalTime>
  <ScaleCrop>false</ScaleCrop>
  <LinksUpToDate>false</LinksUpToDate>
  <CharactersWithSpaces>1358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2014-11-14T12:08:00Z</dcterms:created>
  <dc:creator>Administrator</dc:creator>
  <cp:lastModifiedBy>郄燕</cp:lastModifiedBy>
  <cp:lastPrinted>2025-09-12T02:03:00Z</cp:lastPrinted>
  <dcterms:modified xsi:type="dcterms:W3CDTF">2025-09-11T17:46:42Z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AF4F4A3AD1BC42AD9BF6EA8A719086E8_13</vt:lpwstr>
  </property>
  <property fmtid="{D5CDD505-2E9C-101B-9397-08002B2CF9AE}" pid="4" name="KSOTemplateDocerSaveRecord">
    <vt:lpwstr>eyJoZGlkIjoiNDk5YjQ2MGRkN2RkZmQ5NzMwOTBjMmVhNzA1NWQ1NTciLCJ1c2VySWQiOiI0NzQ5MTkzMTMifQ==</vt:lpwstr>
  </property>
</Properties>
</file>