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3</w:t>
      </w:r>
    </w:p>
    <w:p>
      <w:pPr>
        <w:jc w:val="left"/>
        <w:rPr>
          <w:rFonts w:hint="eastAsia" w:ascii="Nimbus Roman No9 L" w:hAnsi="Nimbus Roman No9 L" w:eastAsia="仿宋_GB2312" w:cs="Times New Roman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外国人来华工作许可延期申请材料及要求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82"/>
        <w:gridCol w:w="927"/>
        <w:gridCol w:w="668"/>
        <w:gridCol w:w="832"/>
        <w:gridCol w:w="369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提交材料清单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原件/复印件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份数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纸质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/电子</w:t>
            </w: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要求</w:t>
            </w: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外国人来华工作许可延期申请表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原件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1份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纸质/电子</w:t>
            </w: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在线填写打印，申请人签字、加盖用人单位公章后上传至系统。</w:t>
            </w: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聘用合同或任职证明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原件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1份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纸质/电子</w:t>
            </w: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Cs w:val="21"/>
              </w:rPr>
              <w:t>应提供中文合同，应由申请人签名并加盖单位公章，不得涂改。</w:t>
            </w: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签证或有效居留许可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原件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1份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纸质/电子</w:t>
            </w: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护照（或国际旅行证件）签证页、入境签章页或居留许可信息页。</w:t>
            </w: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《外国人工作许可证》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原件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1份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卡证</w:t>
            </w: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包括现行有效期内的《外国专家证》和《外国人就业证》。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tabs>
                <w:tab w:val="left" w:pos="2995"/>
              </w:tabs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</w:p>
          <w:p>
            <w:pPr>
              <w:adjustRightInd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1.我国法律法规规定应由行业主管部门前置审批，应提供行业主管部门批准文书。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2.同一单位内改任新职务的，包括从专业岗位提升至行政管理岗位，延期时应提交岗位变更证明。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3.改任新岗位（职业）的，应重新申请办理外国人来华工作许可。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4.按外国高端人才（A类）申请延期的，需提交相应证明材料。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5.所有纸质材料原件及中文翻译件均应以电子方式上传至办理系统。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F751"/>
    <w:rsid w:val="47E6F751"/>
    <w:rsid w:val="5D6FD623"/>
    <w:rsid w:val="71FB81D3"/>
    <w:rsid w:val="7F7FCBB0"/>
    <w:rsid w:val="BDFBF02F"/>
    <w:rsid w:val="E7B977D5"/>
    <w:rsid w:val="E9DBDBA6"/>
    <w:rsid w:val="FEC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2023-05-11T23:03:00Z</dcterms:created>
  <dc:creator>kylin</dc:creator>
  <cp:lastModifiedBy>kylin</cp:lastModifiedBy>
  <dcterms:modified xsi:type="dcterms:W3CDTF">2023-05-11T15:08:29Z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