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Nimbus Roman No9 L" w:hAnsi="Nimbus Roman No9 L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imbus Roman No9 L" w:hAnsi="Nimbus Roman No9 L" w:eastAsia="仿宋_GB2312" w:cs="Times New Roman"/>
          <w:sz w:val="32"/>
          <w:szCs w:val="32"/>
        </w:rPr>
        <w:t>4</w:t>
      </w:r>
    </w:p>
    <w:p>
      <w:pPr>
        <w:spacing w:line="680" w:lineRule="exact"/>
        <w:jc w:val="center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方正小标宋简体" w:cs="方正小标宋简体"/>
          <w:snapToGrid w:val="0"/>
          <w:kern w:val="0"/>
          <w:sz w:val="44"/>
          <w:szCs w:val="44"/>
        </w:rPr>
        <w:t>外国高端人才便利措施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外国高端人才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A类</w:t>
      </w: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）</w:t>
      </w:r>
      <w:r>
        <w:rPr>
          <w:rFonts w:hint="eastAsia" w:ascii="Nimbus Roman No9 L" w:hAnsi="Nimbus Roman No9 L" w:eastAsia="仿宋_GB2312" w:cs="仿宋_GB2312"/>
          <w:snapToGrid w:val="0"/>
          <w:kern w:val="0"/>
          <w:sz w:val="32"/>
          <w:szCs w:val="32"/>
        </w:rPr>
        <w:t>申请外国人来华工作许可，以及申请外国人来华工作许可延期、注销的，提供如下便利措施：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1.受理机构网上预审通过的直接受理，给予受理电子回执单。申请人入境前不需提供纸质材料进行核验；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2.入选国内相关人才计划的外国高端人才，全流程在线办理，无需提交纸质材料核验；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符合《外国人来华工作分类标准》外国高端人才（A类）</w:t>
      </w:r>
    </w:p>
    <w:p>
      <w:pPr>
        <w:numPr>
          <w:ilvl w:val="255"/>
          <w:numId w:val="0"/>
        </w:numPr>
        <w:spacing w:line="540" w:lineRule="exact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（1）入选国内相关人才计划的；（2）符合国际公认的专业成</w:t>
      </w:r>
    </w:p>
    <w:p>
      <w:pPr>
        <w:spacing w:line="540" w:lineRule="exact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就认定标准的，工作资历证明采用承诺制；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4.符合《外国人来华工作分类标准》外国高端人才（A类）（1）入选国内相关人才计划的；（2）符合国际公认的专业成就认定标准的；（3）符合市场导向的鼓励类岗位需求的外国人才；（4）创新创业人才的，最高学位（学历）证书采用承诺制；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5.无犯罪记录证明采用承诺制；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6.持其他签证或有效居留证件已入境的，可境内申请外国人来华工作许可；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7.申请外国人来华工作许可、外国人来华工作许可延期、注销申请的，决定机构在5个工作日内进行审查并作出决定。</w:t>
      </w:r>
    </w:p>
    <w:p>
      <w:pPr>
        <w:spacing w:line="540" w:lineRule="exact"/>
        <w:ind w:firstLine="640" w:firstLineChars="200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napToGrid w:val="0"/>
          <w:kern w:val="0"/>
          <w:sz w:val="32"/>
          <w:szCs w:val="32"/>
        </w:rPr>
        <w:t>8.可给予最长期限达5年的外国人来华工作许可。</w:t>
      </w:r>
    </w:p>
    <w:p>
      <w:pPr>
        <w:spacing w:line="560" w:lineRule="exact"/>
        <w:ind w:firstLine="640" w:firstLineChars="200"/>
        <w:rPr>
          <w:rFonts w:hint="eastAsia" w:ascii="Nimbus Roman No9 L" w:hAnsi="Nimbus Roman No9 L" w:eastAsia="仿宋_GB2312" w:cs="Times New Roman"/>
          <w:sz w:val="32"/>
          <w:szCs w:val="32"/>
        </w:rPr>
      </w:pPr>
      <w:r>
        <w:rPr>
          <w:rFonts w:hint="eastAsia" w:ascii="Nimbus Roman No9 L" w:hAnsi="Nimbus Roman No9 L" w:eastAsia="仿宋_GB2312" w:cs="Times New Roman"/>
          <w:sz w:val="32"/>
          <w:szCs w:val="32"/>
        </w:rPr>
        <w:t>符合条件的外国青年科技人才，可享受以上便利措施。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CDA0"/>
    <w:multiLevelType w:val="singleLevel"/>
    <w:tmpl w:val="58D9CDA0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F751"/>
    <w:rsid w:val="3F77AA9E"/>
    <w:rsid w:val="47E6F751"/>
    <w:rsid w:val="5D6FD623"/>
    <w:rsid w:val="71FB81D3"/>
    <w:rsid w:val="7F7FCBB0"/>
    <w:rsid w:val="7F8DF881"/>
    <w:rsid w:val="7FFF39AD"/>
    <w:rsid w:val="BDFBF02F"/>
    <w:rsid w:val="E7B977D5"/>
    <w:rsid w:val="E9DBD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2023-05-11T15:03:00Z</dcterms:created>
  <dc:creator>kylin</dc:creator>
  <cp:lastModifiedBy>kylin</cp:lastModifiedBy>
  <dcterms:modified xsi:type="dcterms:W3CDTF">2023-05-11T15:07:12Z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